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BF" w:rsidRPr="003A4D35" w:rsidRDefault="00C87BBF" w:rsidP="00C87BBF">
      <w:pPr>
        <w:spacing w:before="120" w:after="240"/>
        <w:jc w:val="right"/>
        <w:rPr>
          <w:b/>
          <w:color w:val="538135" w:themeColor="accent6" w:themeShade="BF"/>
          <w:sz w:val="28"/>
          <w:szCs w:val="28"/>
        </w:rPr>
      </w:pPr>
      <w:bookmarkStart w:id="0" w:name="_GoBack"/>
      <w:bookmarkEnd w:id="0"/>
      <w:r w:rsidRPr="003A4D35">
        <w:rPr>
          <w:b/>
          <w:color w:val="538135" w:themeColor="accent6" w:themeShade="BF"/>
          <w:sz w:val="28"/>
          <w:szCs w:val="28"/>
        </w:rPr>
        <w:t>Fiche n°</w:t>
      </w:r>
      <w:r>
        <w:rPr>
          <w:b/>
          <w:color w:val="538135" w:themeColor="accent6" w:themeShade="BF"/>
          <w:sz w:val="28"/>
          <w:szCs w:val="28"/>
        </w:rPr>
        <w:t>8</w:t>
      </w:r>
    </w:p>
    <w:tbl>
      <w:tblPr>
        <w:tblStyle w:val="Grilledutableau"/>
        <w:tblW w:w="0" w:type="auto"/>
        <w:tblBorders>
          <w:top w:val="double" w:sz="12" w:space="0" w:color="70AD47" w:themeColor="accent6"/>
          <w:left w:val="double" w:sz="12" w:space="0" w:color="70AD47" w:themeColor="accent6"/>
          <w:bottom w:val="double" w:sz="12" w:space="0" w:color="70AD47" w:themeColor="accent6"/>
          <w:right w:val="double" w:sz="12" w:space="0" w:color="70AD47" w:themeColor="accent6"/>
          <w:insideH w:val="none" w:sz="0" w:space="0" w:color="auto"/>
          <w:insideV w:val="none" w:sz="0" w:space="0" w:color="auto"/>
        </w:tblBorders>
        <w:tblLook w:val="04A0" w:firstRow="1" w:lastRow="0" w:firstColumn="1" w:lastColumn="0" w:noHBand="0" w:noVBand="1"/>
      </w:tblPr>
      <w:tblGrid>
        <w:gridCol w:w="8982"/>
      </w:tblGrid>
      <w:tr w:rsidR="00C87BBF" w:rsidTr="00673ACF">
        <w:tc>
          <w:tcPr>
            <w:tcW w:w="8982" w:type="dxa"/>
          </w:tcPr>
          <w:p w:rsidR="00C87BBF" w:rsidRDefault="00C87BBF" w:rsidP="00673ACF">
            <w:pPr>
              <w:spacing w:before="240" w:after="240"/>
              <w:jc w:val="center"/>
            </w:pPr>
            <w:r>
              <w:rPr>
                <w:b/>
                <w:color w:val="538135" w:themeColor="accent6" w:themeShade="BF"/>
                <w:sz w:val="28"/>
                <w:szCs w:val="28"/>
              </w:rPr>
              <w:t>Le compte personnel de formation (CPF)</w:t>
            </w:r>
          </w:p>
        </w:tc>
      </w:tr>
    </w:tbl>
    <w:p w:rsidR="00C87BBF" w:rsidRDefault="00C87BBF" w:rsidP="00C87BBF">
      <w:pPr>
        <w:spacing w:before="120" w:after="0"/>
        <w:jc w:val="both"/>
      </w:pPr>
    </w:p>
    <w:p w:rsidR="00C87BBF" w:rsidRDefault="00C87BBF" w:rsidP="00C87BBF">
      <w:pPr>
        <w:spacing w:before="120" w:after="0"/>
        <w:jc w:val="both"/>
      </w:pPr>
      <w:r>
        <w:t>Le compte personnel de formation (CPF) permet à l’ensemble des agents publics civils, titulaires et contractuels qui relèvent des dispositions des articles 1</w:t>
      </w:r>
      <w:r w:rsidR="00D16347">
        <w:t xml:space="preserve"> (fonctionnaires civils)</w:t>
      </w:r>
      <w:r>
        <w:t xml:space="preserve"> et 2</w:t>
      </w:r>
      <w:r w:rsidR="00D16347">
        <w:t xml:space="preserve"> (agents contractuels)</w:t>
      </w:r>
      <w:r>
        <w:t xml:space="preserve"> du code général de la fonction publique, </w:t>
      </w:r>
      <w:r w:rsidRPr="007C531B">
        <w:rPr>
          <w:b/>
        </w:rPr>
        <w:t>d’acquérir des droits à la formation</w:t>
      </w:r>
      <w:r>
        <w:t>.</w:t>
      </w:r>
    </w:p>
    <w:p w:rsidR="00C87BBF" w:rsidRPr="003A4D35" w:rsidRDefault="00C87BBF" w:rsidP="00C87BBF">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Pr>
          <w:b/>
          <w:color w:val="538135" w:themeColor="accent6" w:themeShade="BF"/>
          <w:sz w:val="24"/>
          <w:szCs w:val="24"/>
        </w:rPr>
        <w:t xml:space="preserve">Qu’est-ce que le compte personnel de formation </w:t>
      </w:r>
      <w:r w:rsidRPr="003A4D35">
        <w:rPr>
          <w:b/>
          <w:color w:val="538135" w:themeColor="accent6" w:themeShade="BF"/>
          <w:sz w:val="24"/>
          <w:szCs w:val="24"/>
        </w:rPr>
        <w:t xml:space="preserve">? </w:t>
      </w:r>
    </w:p>
    <w:p w:rsidR="00C87BBF" w:rsidRPr="00C87BBF" w:rsidRDefault="00C87BBF" w:rsidP="00C87BBF">
      <w:pPr>
        <w:spacing w:before="100" w:beforeAutospacing="1" w:after="100" w:afterAutospacing="1" w:line="240" w:lineRule="auto"/>
        <w:jc w:val="both"/>
      </w:pPr>
      <w:r w:rsidRPr="00C87BBF">
        <w:t xml:space="preserve">Tout au long de sa vie active jusqu’à son départ à la retraite, l’agent cumule des </w:t>
      </w:r>
      <w:r w:rsidRPr="00C87BBF">
        <w:rPr>
          <w:b/>
        </w:rPr>
        <w:t>droits à formation</w:t>
      </w:r>
      <w:r w:rsidRPr="00C87BBF">
        <w:t xml:space="preserve"> au titre de ses activités professionnelles mobilisables tout au long de sa vie professionnelle.</w:t>
      </w:r>
    </w:p>
    <w:p w:rsidR="00C87BBF" w:rsidRPr="00C87BBF" w:rsidRDefault="00C87BBF" w:rsidP="00C87BBF">
      <w:pPr>
        <w:spacing w:before="100" w:beforeAutospacing="1" w:after="100" w:afterAutospacing="1" w:line="240" w:lineRule="auto"/>
        <w:jc w:val="both"/>
      </w:pPr>
      <w:r w:rsidRPr="00C87BBF">
        <w:rPr>
          <w:b/>
        </w:rPr>
        <w:t>Ces droits servent exclusivement au financement d'une ou plusieurs formations</w:t>
      </w:r>
      <w:r w:rsidR="002E17A6">
        <w:rPr>
          <w:b/>
        </w:rPr>
        <w:t xml:space="preserve"> dans le cadre d’un projet d’évolution professionnelle</w:t>
      </w:r>
      <w:r w:rsidRPr="00C87BBF">
        <w:t xml:space="preserve">. Ils ne peuvent </w:t>
      </w:r>
      <w:r w:rsidR="0064538B">
        <w:t xml:space="preserve">pas </w:t>
      </w:r>
      <w:r w:rsidRPr="00C87BBF">
        <w:t>être donnés à une autre personne. </w:t>
      </w:r>
    </w:p>
    <w:p w:rsidR="00C87BBF" w:rsidRPr="00A67AFB" w:rsidRDefault="00C87BBF" w:rsidP="00C87BBF">
      <w:pPr>
        <w:spacing w:before="120" w:after="0"/>
        <w:jc w:val="both"/>
      </w:pPr>
      <w:r>
        <w:t xml:space="preserve">Pour un agent du </w:t>
      </w:r>
      <w:r w:rsidR="00A67AFB">
        <w:t>ministère chargé de l’agriculture</w:t>
      </w:r>
      <w:r>
        <w:t xml:space="preserve">, </w:t>
      </w:r>
      <w:r w:rsidRPr="00A67AFB">
        <w:rPr>
          <w:b/>
        </w:rPr>
        <w:t>les droits CPF se traduisent par un nombre d’heures</w:t>
      </w:r>
      <w:r w:rsidR="00A67AFB" w:rsidRPr="00A67AFB">
        <w:t xml:space="preserve"> </w:t>
      </w:r>
      <w:r w:rsidR="00A67AFB">
        <w:t>acquises au regard du temps de travail. Elles peuvent</w:t>
      </w:r>
      <w:r w:rsidRPr="00A67AFB">
        <w:t xml:space="preserve"> être mobilisées </w:t>
      </w:r>
      <w:r w:rsidRPr="00C87BBF">
        <w:rPr>
          <w:b/>
        </w:rPr>
        <w:t>pour suivre des actions de formation</w:t>
      </w:r>
      <w:r>
        <w:t xml:space="preserve"> </w:t>
      </w:r>
      <w:r w:rsidR="00A67AFB">
        <w:t>au service</w:t>
      </w:r>
      <w:r>
        <w:t xml:space="preserve"> d’un </w:t>
      </w:r>
      <w:r w:rsidRPr="00D80895">
        <w:rPr>
          <w:b/>
        </w:rPr>
        <w:t>projet d’évolution professionnelle</w:t>
      </w:r>
      <w:r>
        <w:t xml:space="preserve"> </w:t>
      </w:r>
      <w:r w:rsidRPr="00C87BBF">
        <w:rPr>
          <w:b/>
        </w:rPr>
        <w:t xml:space="preserve">validé </w:t>
      </w:r>
      <w:r w:rsidRPr="00D80895">
        <w:rPr>
          <w:b/>
        </w:rPr>
        <w:t xml:space="preserve">par </w:t>
      </w:r>
      <w:r w:rsidR="00A67AFB">
        <w:rPr>
          <w:b/>
        </w:rPr>
        <w:t xml:space="preserve">le ministère. </w:t>
      </w:r>
      <w:r w:rsidR="00A67AFB" w:rsidRPr="00A67AFB">
        <w:t>Le ministère finance jusqu’à 3</w:t>
      </w:r>
      <w:r w:rsidR="009558B7">
        <w:t> </w:t>
      </w:r>
      <w:r w:rsidR="00A67AFB" w:rsidRPr="00A67AFB">
        <w:t>500</w:t>
      </w:r>
      <w:r w:rsidR="009558B7">
        <w:t xml:space="preserve"> </w:t>
      </w:r>
      <w:r w:rsidR="00A67AFB" w:rsidRPr="00A67AFB">
        <w:t>€ d’</w:t>
      </w:r>
      <w:r w:rsidR="00A67AFB">
        <w:t>actions de formation</w:t>
      </w:r>
      <w:r w:rsidR="00C87312">
        <w:t xml:space="preserve"> par projet d’évolution professionnelle</w:t>
      </w:r>
      <w:r w:rsidR="00A67AFB">
        <w:t>.</w:t>
      </w:r>
    </w:p>
    <w:p w:rsidR="00A67AFB" w:rsidRDefault="00A67AFB" w:rsidP="00C87BBF">
      <w:pPr>
        <w:spacing w:before="120" w:after="0"/>
        <w:jc w:val="both"/>
      </w:pPr>
    </w:p>
    <w:tbl>
      <w:tblPr>
        <w:tblStyle w:val="Grilledutableau"/>
        <w:tblW w:w="0" w:type="auto"/>
        <w:tblLook w:val="04A0" w:firstRow="1" w:lastRow="0" w:firstColumn="1" w:lastColumn="0" w:noHBand="0" w:noVBand="1"/>
      </w:tblPr>
      <w:tblGrid>
        <w:gridCol w:w="9062"/>
      </w:tblGrid>
      <w:tr w:rsidR="00C87BBF" w:rsidTr="00673ACF">
        <w:tc>
          <w:tcPr>
            <w:tcW w:w="9062" w:type="dxa"/>
          </w:tcPr>
          <w:p w:rsidR="00C87BBF" w:rsidRDefault="00C87BBF" w:rsidP="00673ACF">
            <w:pPr>
              <w:spacing w:before="60"/>
              <w:jc w:val="both"/>
            </w:pPr>
            <w:r w:rsidRPr="00DC250B">
              <w:rPr>
                <w:b/>
                <w:color w:val="538135" w:themeColor="accent6" w:themeShade="BF"/>
                <w:sz w:val="24"/>
                <w:szCs w:val="24"/>
              </w:rPr>
              <w:t>Droits complémentaires</w:t>
            </w:r>
            <w:r>
              <w:rPr>
                <w:b/>
                <w:color w:val="538135" w:themeColor="accent6" w:themeShade="BF"/>
                <w:sz w:val="24"/>
                <w:szCs w:val="24"/>
              </w:rPr>
              <w:t xml:space="preserve"> pour certains agents</w:t>
            </w:r>
            <w:r>
              <w:t> : certains agents peuvent bénéficier d’heures supplémentaires au titre du compte personnel de formation.</w:t>
            </w:r>
          </w:p>
          <w:p w:rsidR="00C87BBF" w:rsidRDefault="00C87BBF" w:rsidP="00C87BBF">
            <w:pPr>
              <w:pStyle w:val="Paragraphedeliste"/>
              <w:numPr>
                <w:ilvl w:val="0"/>
                <w:numId w:val="2"/>
              </w:numPr>
              <w:spacing w:before="60"/>
              <w:contextualSpacing w:val="0"/>
              <w:jc w:val="both"/>
            </w:pPr>
            <w:r>
              <w:t xml:space="preserve">Pour les agents de catégorie C n’ayant pas atteint un niveau de formation validé par un diplôme ou titre professionnel enregistré et classé au niveau </w:t>
            </w:r>
            <w:r w:rsidR="00E978A6">
              <w:t xml:space="preserve">3 </w:t>
            </w:r>
            <w:r>
              <w:t xml:space="preserve">du répertoire national des certifications professionnelles (infra bac), l’alimentation </w:t>
            </w:r>
            <w:r w:rsidR="002E17A6">
              <w:t xml:space="preserve">annuelle </w:t>
            </w:r>
            <w:r>
              <w:t>du CPF se fait à hauteur de 50 heures maximum pour un plafond maximal d’heures à hauteur de 400 heures.</w:t>
            </w:r>
          </w:p>
          <w:p w:rsidR="00C87BBF" w:rsidRDefault="00C87BBF" w:rsidP="00C87BBF">
            <w:pPr>
              <w:pStyle w:val="Paragraphedeliste"/>
              <w:numPr>
                <w:ilvl w:val="0"/>
                <w:numId w:val="2"/>
              </w:numPr>
              <w:spacing w:before="60"/>
              <w:contextualSpacing w:val="0"/>
              <w:jc w:val="both"/>
            </w:pPr>
            <w:r>
              <w:t>L’agent peut bénéficier d’un crédit d’heures supplémentaires</w:t>
            </w:r>
            <w:r w:rsidR="002E17A6">
              <w:t xml:space="preserve"> pour </w:t>
            </w:r>
            <w:r w:rsidR="00FA1A2A">
              <w:t>une</w:t>
            </w:r>
            <w:r w:rsidR="002E17A6">
              <w:t xml:space="preserve"> demande de mobilisation</w:t>
            </w:r>
            <w:r w:rsidR="00FA1A2A">
              <w:t xml:space="preserve"> du CPF en cas de p</w:t>
            </w:r>
            <w:r w:rsidR="00FA1A2A" w:rsidRPr="00DC250B">
              <w:t>révention d’une situation d'inaptitude de l’agent à l’exercice de ses fonctions</w:t>
            </w:r>
            <w:r w:rsidR="00FA1A2A">
              <w:t>. Ce crédit d’heure peut atteindre jusqu’à</w:t>
            </w:r>
            <w:r>
              <w:t xml:space="preserve"> 150 heures en complément des droits acquis.</w:t>
            </w:r>
          </w:p>
          <w:p w:rsidR="00C87BBF" w:rsidRPr="00176AA4" w:rsidRDefault="00C87BBF" w:rsidP="00673ACF">
            <w:pPr>
              <w:pStyle w:val="Paragraphedeliste"/>
              <w:contextualSpacing w:val="0"/>
              <w:jc w:val="both"/>
            </w:pPr>
          </w:p>
        </w:tc>
      </w:tr>
    </w:tbl>
    <w:p w:rsidR="00C87BBF" w:rsidRPr="003A4D35" w:rsidRDefault="00C87BBF" w:rsidP="00C87BBF">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t xml:space="preserve">Qui peut mobiliser </w:t>
      </w:r>
      <w:r>
        <w:rPr>
          <w:b/>
          <w:color w:val="538135" w:themeColor="accent6" w:themeShade="BF"/>
          <w:sz w:val="24"/>
          <w:szCs w:val="24"/>
        </w:rPr>
        <w:t xml:space="preserve">le compte personnel de formation </w:t>
      </w:r>
      <w:r w:rsidRPr="003A4D35">
        <w:rPr>
          <w:b/>
          <w:color w:val="538135" w:themeColor="accent6" w:themeShade="BF"/>
          <w:sz w:val="24"/>
          <w:szCs w:val="24"/>
        </w:rPr>
        <w:t>?</w:t>
      </w:r>
    </w:p>
    <w:p w:rsidR="00C87BBF" w:rsidRDefault="00C87BBF" w:rsidP="00C87BBF">
      <w:pPr>
        <w:spacing w:before="120" w:after="0"/>
        <w:jc w:val="both"/>
      </w:pPr>
      <w:r>
        <w:t xml:space="preserve">Les agents publics peuvent mobiliser le compte personnel de formation </w:t>
      </w:r>
      <w:r w:rsidRPr="00C87BBF">
        <w:rPr>
          <w:b/>
        </w:rPr>
        <w:t>dans le cadre d’un projet d’évolution professionnelle</w:t>
      </w:r>
      <w:r>
        <w:t xml:space="preserve"> </w:t>
      </w:r>
      <w:r w:rsidR="009D0FE1">
        <w:t>au regard des droits CPF qu’ils ont</w:t>
      </w:r>
      <w:r>
        <w:t xml:space="preserve"> acquis. </w:t>
      </w:r>
    </w:p>
    <w:p w:rsidR="00D16347" w:rsidRDefault="00D16347" w:rsidP="00C87BBF">
      <w:pPr>
        <w:spacing w:before="120" w:after="0"/>
        <w:jc w:val="both"/>
      </w:pPr>
      <w:r>
        <w:t>Les CPF des agents en position normale d’activité (PNA) sortante sont gérés par leur ministère d’origine. Ex : un agent relevant du ministère chargé de l’agriculture en PNA en DREAL doit prendre l’attache du ministère chargé de l’agriculture pour mobiliser son CPF.</w:t>
      </w:r>
    </w:p>
    <w:p w:rsidR="00C87BBF" w:rsidRDefault="00C87BBF" w:rsidP="00C87BBF">
      <w:pPr>
        <w:spacing w:before="120" w:after="0"/>
        <w:jc w:val="both"/>
      </w:pPr>
      <w:r>
        <w:lastRenderedPageBreak/>
        <w:t xml:space="preserve">Pour faciliter l’accès, la lisibilité et l’appropriation des droits à la formation par les agents publics, un portail accessible à l’adresse </w:t>
      </w:r>
      <w:hyperlink r:id="rId8" w:history="1">
        <w:r w:rsidRPr="00151936">
          <w:rPr>
            <w:rStyle w:val="Lienhypertexte"/>
          </w:rPr>
          <w:t>www.moncompteformation.gouv.fr</w:t>
        </w:r>
      </w:hyperlink>
      <w:r>
        <w:t xml:space="preserve">, </w:t>
      </w:r>
      <w:r w:rsidR="009D0FE1">
        <w:t xml:space="preserve">leur </w:t>
      </w:r>
      <w:r>
        <w:t xml:space="preserve">permet de </w:t>
      </w:r>
      <w:r w:rsidRPr="00151936">
        <w:rPr>
          <w:b/>
        </w:rPr>
        <w:t xml:space="preserve">consulter </w:t>
      </w:r>
      <w:r w:rsidR="009D0FE1">
        <w:rPr>
          <w:b/>
        </w:rPr>
        <w:t>le nombre de</w:t>
      </w:r>
      <w:r w:rsidRPr="00151936">
        <w:rPr>
          <w:b/>
        </w:rPr>
        <w:t xml:space="preserve"> droits</w:t>
      </w:r>
      <w:r w:rsidR="00176722">
        <w:rPr>
          <w:b/>
        </w:rPr>
        <w:t xml:space="preserve"> acquis au titre du CPF</w:t>
      </w:r>
      <w:r>
        <w:t>.</w:t>
      </w:r>
    </w:p>
    <w:p w:rsidR="009D0FE1" w:rsidRDefault="009D0FE1" w:rsidP="00C87BBF">
      <w:pPr>
        <w:spacing w:before="120" w:after="0"/>
        <w:jc w:val="both"/>
      </w:pPr>
    </w:p>
    <w:p w:rsidR="00C87BBF" w:rsidRPr="003A4D35" w:rsidRDefault="00C87BBF" w:rsidP="00C87BBF">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t xml:space="preserve">Comment mobiliser </w:t>
      </w:r>
      <w:r>
        <w:rPr>
          <w:b/>
          <w:color w:val="538135" w:themeColor="accent6" w:themeShade="BF"/>
          <w:sz w:val="24"/>
          <w:szCs w:val="24"/>
        </w:rPr>
        <w:t xml:space="preserve">le compte personnel de formation </w:t>
      </w:r>
      <w:r w:rsidRPr="003A4D35">
        <w:rPr>
          <w:b/>
          <w:color w:val="538135" w:themeColor="accent6" w:themeShade="BF"/>
          <w:sz w:val="24"/>
          <w:szCs w:val="24"/>
        </w:rPr>
        <w:t>?</w:t>
      </w:r>
    </w:p>
    <w:p w:rsidR="00C87BBF" w:rsidRDefault="00C87BBF" w:rsidP="00C87BBF">
      <w:pPr>
        <w:spacing w:before="120" w:after="0"/>
        <w:jc w:val="both"/>
      </w:pPr>
      <w:r>
        <w:t>Pour toutes les actions de formation qui engagent des frais pédagogiques dédiés à la demande CPF de l’agent, le dossier passe en commission CPF, dès lors que le dossier est réputé complet.</w:t>
      </w:r>
    </w:p>
    <w:p w:rsidR="00C87BBF" w:rsidRPr="000325A5" w:rsidRDefault="00C87BBF" w:rsidP="00C87BBF">
      <w:pPr>
        <w:spacing w:before="180" w:after="180"/>
        <w:jc w:val="center"/>
        <w:rPr>
          <w:highlight w:val="green"/>
        </w:rPr>
      </w:pPr>
      <w:r w:rsidRPr="00BC28D6">
        <w:rPr>
          <w:highlight w:val="green"/>
        </w:rPr>
        <w:t xml:space="preserve">Formulaire de demande </w:t>
      </w:r>
      <w:r w:rsidRPr="007C531B">
        <w:rPr>
          <w:highlight w:val="green"/>
        </w:rPr>
        <w:t>de mobilisation du Compte personnel de formation</w:t>
      </w:r>
      <w:r w:rsidR="000325A5" w:rsidRPr="000325A5">
        <w:rPr>
          <w:highlight w:val="green"/>
        </w:rPr>
        <w:t xml:space="preserve"> disponible sur le site FormCo</w:t>
      </w:r>
      <w:r w:rsidR="000325A5">
        <w:rPr>
          <w:rStyle w:val="Appelnotedebasdep"/>
          <w:highlight w:val="green"/>
        </w:rPr>
        <w:footnoteReference w:id="1"/>
      </w:r>
    </w:p>
    <w:p w:rsidR="00C87BBF" w:rsidRDefault="00C87BBF" w:rsidP="00C87BBF">
      <w:pPr>
        <w:spacing w:before="120" w:after="120"/>
        <w:jc w:val="both"/>
      </w:pPr>
      <w:r>
        <w:t xml:space="preserve">Les commissions CPF se réunissent, par campagne, </w:t>
      </w:r>
      <w:r w:rsidRPr="00CB5D22">
        <w:rPr>
          <w:b/>
        </w:rPr>
        <w:t>2 fois par an</w:t>
      </w:r>
      <w:r>
        <w:t xml:space="preserve"> :</w:t>
      </w:r>
    </w:p>
    <w:tbl>
      <w:tblPr>
        <w:tblW w:w="9034" w:type="dxa"/>
        <w:tblLayout w:type="fixed"/>
        <w:tblCellMar>
          <w:left w:w="10" w:type="dxa"/>
          <w:right w:w="10" w:type="dxa"/>
        </w:tblCellMar>
        <w:tblLook w:val="04A0" w:firstRow="1" w:lastRow="0" w:firstColumn="1" w:lastColumn="0" w:noHBand="0" w:noVBand="1"/>
      </w:tblPr>
      <w:tblGrid>
        <w:gridCol w:w="990"/>
        <w:gridCol w:w="1984"/>
        <w:gridCol w:w="1231"/>
        <w:gridCol w:w="1606"/>
        <w:gridCol w:w="1612"/>
        <w:gridCol w:w="1611"/>
      </w:tblGrid>
      <w:tr w:rsidR="00C87BBF" w:rsidRPr="00176AA4" w:rsidTr="00673ACF">
        <w:tc>
          <w:tcPr>
            <w:tcW w:w="990" w:type="dxa"/>
            <w:tcBorders>
              <w:top w:val="single" w:sz="2" w:space="0" w:color="000000"/>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both"/>
              <w:textAlignment w:val="baseline"/>
              <w:rPr>
                <w:rFonts w:eastAsia="SimSun" w:cstheme="minorHAnsi"/>
                <w:kern w:val="3"/>
                <w:sz w:val="20"/>
                <w:szCs w:val="20"/>
                <w:lang w:eastAsia="zh-CN" w:bidi="hi-IN"/>
              </w:rPr>
            </w:pPr>
          </w:p>
        </w:tc>
        <w:tc>
          <w:tcPr>
            <w:tcW w:w="1984"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b/>
                <w:bCs/>
                <w:kern w:val="3"/>
                <w:sz w:val="20"/>
                <w:szCs w:val="20"/>
                <w:lang w:eastAsia="zh-CN" w:bidi="hi-IN"/>
              </w:rPr>
            </w:pPr>
            <w:r w:rsidRPr="00176AA4">
              <w:rPr>
                <w:rFonts w:eastAsia="SimSun" w:cstheme="minorHAnsi"/>
                <w:b/>
                <w:bCs/>
                <w:kern w:val="3"/>
                <w:sz w:val="20"/>
                <w:szCs w:val="20"/>
                <w:lang w:eastAsia="zh-CN" w:bidi="hi-IN"/>
              </w:rPr>
              <w:t>Dépôt des dossiers</w:t>
            </w:r>
          </w:p>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b/>
                <w:bCs/>
                <w:kern w:val="3"/>
                <w:sz w:val="20"/>
                <w:szCs w:val="20"/>
                <w:lang w:eastAsia="zh-CN" w:bidi="hi-IN"/>
              </w:rPr>
            </w:pPr>
            <w:r w:rsidRPr="00176AA4">
              <w:rPr>
                <w:rFonts w:eastAsia="SimSun" w:cstheme="minorHAnsi"/>
                <w:b/>
                <w:bCs/>
                <w:kern w:val="3"/>
                <w:sz w:val="20"/>
                <w:szCs w:val="20"/>
                <w:lang w:eastAsia="zh-CN" w:bidi="hi-IN"/>
              </w:rPr>
              <w:t>CPF</w:t>
            </w:r>
          </w:p>
        </w:tc>
        <w:tc>
          <w:tcPr>
            <w:tcW w:w="1231"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b/>
                <w:bCs/>
                <w:kern w:val="3"/>
                <w:sz w:val="20"/>
                <w:szCs w:val="20"/>
                <w:lang w:eastAsia="zh-CN" w:bidi="hi-IN"/>
              </w:rPr>
            </w:pPr>
            <w:r w:rsidRPr="00176AA4">
              <w:rPr>
                <w:rFonts w:eastAsia="SimSun" w:cstheme="minorHAnsi"/>
                <w:b/>
                <w:bCs/>
                <w:kern w:val="3"/>
                <w:sz w:val="20"/>
                <w:szCs w:val="20"/>
                <w:lang w:eastAsia="zh-CN" w:bidi="hi-IN"/>
              </w:rPr>
              <w:t>Instruction des dossiers</w:t>
            </w:r>
          </w:p>
        </w:tc>
        <w:tc>
          <w:tcPr>
            <w:tcW w:w="1606"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b/>
                <w:bCs/>
                <w:kern w:val="3"/>
                <w:sz w:val="20"/>
                <w:szCs w:val="20"/>
                <w:lang w:eastAsia="zh-CN" w:bidi="hi-IN"/>
              </w:rPr>
            </w:pPr>
            <w:r w:rsidRPr="00176AA4">
              <w:rPr>
                <w:rFonts w:eastAsia="SimSun" w:cstheme="minorHAnsi"/>
                <w:b/>
                <w:bCs/>
                <w:kern w:val="3"/>
                <w:sz w:val="20"/>
                <w:szCs w:val="20"/>
                <w:lang w:eastAsia="zh-CN" w:bidi="hi-IN"/>
              </w:rPr>
              <w:t>Réunion des commissions CPF</w:t>
            </w:r>
          </w:p>
        </w:tc>
        <w:tc>
          <w:tcPr>
            <w:tcW w:w="1612"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b/>
                <w:bCs/>
                <w:kern w:val="3"/>
                <w:sz w:val="20"/>
                <w:szCs w:val="20"/>
                <w:lang w:eastAsia="zh-CN" w:bidi="hi-IN"/>
              </w:rPr>
            </w:pPr>
            <w:r w:rsidRPr="00176AA4">
              <w:rPr>
                <w:rFonts w:eastAsia="SimSun" w:cstheme="minorHAnsi"/>
                <w:b/>
                <w:bCs/>
                <w:kern w:val="3"/>
                <w:sz w:val="20"/>
                <w:szCs w:val="20"/>
                <w:lang w:eastAsia="zh-CN" w:bidi="hi-IN"/>
              </w:rPr>
              <w:t>Notification des décisions</w:t>
            </w:r>
          </w:p>
        </w:tc>
        <w:tc>
          <w:tcPr>
            <w:tcW w:w="1611"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b/>
                <w:bCs/>
                <w:kern w:val="3"/>
                <w:sz w:val="20"/>
                <w:szCs w:val="20"/>
                <w:lang w:eastAsia="zh-CN" w:bidi="hi-IN"/>
              </w:rPr>
            </w:pPr>
            <w:r w:rsidRPr="00176AA4">
              <w:rPr>
                <w:rFonts w:eastAsia="SimSun" w:cstheme="minorHAnsi"/>
                <w:b/>
                <w:bCs/>
                <w:kern w:val="3"/>
                <w:sz w:val="20"/>
                <w:szCs w:val="20"/>
                <w:lang w:eastAsia="zh-CN" w:bidi="hi-IN"/>
              </w:rPr>
              <w:t>Début de la formation CPF</w:t>
            </w:r>
          </w:p>
        </w:tc>
      </w:tr>
      <w:tr w:rsidR="00C87BBF" w:rsidRPr="00176AA4" w:rsidTr="00673ACF">
        <w:tc>
          <w:tcPr>
            <w:tcW w:w="990"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4"/>
                <w:szCs w:val="24"/>
                <w:lang w:eastAsia="zh-CN" w:bidi="hi-IN"/>
              </w:rPr>
            </w:pPr>
            <w:r w:rsidRPr="00176AA4">
              <w:rPr>
                <w:rFonts w:eastAsia="SimSun" w:cstheme="minorHAnsi"/>
                <w:kern w:val="3"/>
                <w:sz w:val="20"/>
                <w:szCs w:val="20"/>
                <w:lang w:eastAsia="zh-CN" w:bidi="hi-IN"/>
              </w:rPr>
              <w:t>1</w:t>
            </w:r>
            <w:r w:rsidRPr="00176AA4">
              <w:rPr>
                <w:rFonts w:eastAsia="SimSun" w:cstheme="minorHAnsi"/>
                <w:kern w:val="3"/>
                <w:sz w:val="20"/>
                <w:szCs w:val="20"/>
                <w:vertAlign w:val="superscript"/>
                <w:lang w:eastAsia="zh-CN" w:bidi="hi-IN"/>
              </w:rPr>
              <w:t>ère</w:t>
            </w:r>
            <w:r w:rsidRPr="00176AA4">
              <w:rPr>
                <w:rFonts w:eastAsia="SimSun" w:cstheme="minorHAnsi"/>
                <w:kern w:val="3"/>
                <w:sz w:val="20"/>
                <w:szCs w:val="20"/>
                <w:lang w:eastAsia="zh-CN" w:bidi="hi-IN"/>
              </w:rPr>
              <w:t xml:space="preserve"> </w:t>
            </w:r>
            <w:r>
              <w:rPr>
                <w:rFonts w:eastAsia="SimSun" w:cstheme="minorHAnsi"/>
                <w:kern w:val="3"/>
                <w:sz w:val="20"/>
                <w:szCs w:val="20"/>
                <w:lang w:eastAsia="zh-CN" w:bidi="hi-IN"/>
              </w:rPr>
              <w:br/>
            </w:r>
            <w:r w:rsidRPr="00176AA4">
              <w:rPr>
                <w:rFonts w:eastAsia="SimSun" w:cstheme="minorHAnsi"/>
                <w:kern w:val="3"/>
                <w:sz w:val="20"/>
                <w:szCs w:val="20"/>
                <w:lang w:eastAsia="zh-CN" w:bidi="hi-IN"/>
              </w:rPr>
              <w:t xml:space="preserve">campagne </w:t>
            </w:r>
          </w:p>
        </w:tc>
        <w:tc>
          <w:tcPr>
            <w:tcW w:w="1984"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4"/>
                <w:szCs w:val="24"/>
                <w:lang w:eastAsia="zh-CN" w:bidi="hi-IN"/>
              </w:rPr>
            </w:pPr>
            <w:r w:rsidRPr="00176AA4">
              <w:rPr>
                <w:rFonts w:eastAsia="SimSun" w:cstheme="minorHAnsi"/>
                <w:kern w:val="3"/>
                <w:sz w:val="20"/>
                <w:szCs w:val="20"/>
                <w:lang w:eastAsia="zh-CN" w:bidi="hi-IN"/>
              </w:rPr>
              <w:t>1</w:t>
            </w:r>
            <w:r w:rsidRPr="00176AA4">
              <w:rPr>
                <w:rFonts w:eastAsia="SimSun" w:cstheme="minorHAnsi"/>
                <w:kern w:val="3"/>
                <w:sz w:val="20"/>
                <w:szCs w:val="20"/>
                <w:vertAlign w:val="superscript"/>
                <w:lang w:eastAsia="zh-CN" w:bidi="hi-IN"/>
              </w:rPr>
              <w:t>er</w:t>
            </w:r>
            <w:r w:rsidRPr="00176AA4">
              <w:rPr>
                <w:rFonts w:eastAsia="SimSun" w:cstheme="minorHAnsi"/>
                <w:kern w:val="3"/>
                <w:sz w:val="20"/>
                <w:szCs w:val="20"/>
                <w:lang w:eastAsia="zh-CN" w:bidi="hi-IN"/>
              </w:rPr>
              <w:t>/01 au 28/02</w:t>
            </w:r>
          </w:p>
        </w:tc>
        <w:tc>
          <w:tcPr>
            <w:tcW w:w="1231"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0"/>
                <w:szCs w:val="20"/>
                <w:lang w:eastAsia="zh-CN" w:bidi="hi-IN"/>
              </w:rPr>
            </w:pPr>
            <w:r w:rsidRPr="00176AA4">
              <w:rPr>
                <w:rFonts w:eastAsia="SimSun" w:cstheme="minorHAnsi"/>
                <w:kern w:val="3"/>
                <w:sz w:val="20"/>
                <w:szCs w:val="20"/>
                <w:lang w:eastAsia="zh-CN" w:bidi="hi-IN"/>
              </w:rPr>
              <w:t xml:space="preserve">Mars </w:t>
            </w:r>
          </w:p>
        </w:tc>
        <w:tc>
          <w:tcPr>
            <w:tcW w:w="1606"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0"/>
                <w:szCs w:val="20"/>
                <w:lang w:eastAsia="zh-CN" w:bidi="hi-IN"/>
              </w:rPr>
            </w:pPr>
            <w:r w:rsidRPr="00176AA4">
              <w:rPr>
                <w:rFonts w:eastAsia="SimSun" w:cstheme="minorHAnsi"/>
                <w:kern w:val="3"/>
                <w:sz w:val="20"/>
                <w:szCs w:val="20"/>
                <w:lang w:eastAsia="zh-CN" w:bidi="hi-IN"/>
              </w:rPr>
              <w:t>Avril</w:t>
            </w:r>
          </w:p>
        </w:tc>
        <w:tc>
          <w:tcPr>
            <w:tcW w:w="1612"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0"/>
                <w:szCs w:val="20"/>
                <w:lang w:eastAsia="zh-CN" w:bidi="hi-IN"/>
              </w:rPr>
            </w:pPr>
            <w:r w:rsidRPr="00176AA4">
              <w:rPr>
                <w:rFonts w:eastAsia="SimSun" w:cstheme="minorHAnsi"/>
                <w:kern w:val="3"/>
                <w:sz w:val="20"/>
                <w:szCs w:val="20"/>
                <w:lang w:eastAsia="zh-CN" w:bidi="hi-IN"/>
              </w:rPr>
              <w:t>Mai</w:t>
            </w:r>
          </w:p>
        </w:tc>
        <w:tc>
          <w:tcPr>
            <w:tcW w:w="1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0"/>
                <w:szCs w:val="20"/>
                <w:lang w:eastAsia="zh-CN" w:bidi="hi-IN"/>
              </w:rPr>
            </w:pPr>
            <w:r w:rsidRPr="00176AA4">
              <w:rPr>
                <w:rFonts w:eastAsia="SimSun" w:cstheme="minorHAnsi"/>
                <w:kern w:val="3"/>
                <w:sz w:val="20"/>
                <w:szCs w:val="20"/>
                <w:lang w:eastAsia="zh-CN" w:bidi="hi-IN"/>
              </w:rPr>
              <w:t>À compter de septembre de l’année N</w:t>
            </w:r>
          </w:p>
        </w:tc>
      </w:tr>
      <w:tr w:rsidR="00C87BBF" w:rsidRPr="00176AA4" w:rsidTr="00673ACF">
        <w:tc>
          <w:tcPr>
            <w:tcW w:w="990"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4"/>
                <w:szCs w:val="24"/>
                <w:lang w:eastAsia="zh-CN" w:bidi="hi-IN"/>
              </w:rPr>
            </w:pPr>
            <w:r w:rsidRPr="00176AA4">
              <w:rPr>
                <w:rFonts w:eastAsia="SimSun" w:cstheme="minorHAnsi"/>
                <w:kern w:val="3"/>
                <w:sz w:val="20"/>
                <w:szCs w:val="20"/>
                <w:lang w:eastAsia="zh-CN" w:bidi="hi-IN"/>
              </w:rPr>
              <w:t>2</w:t>
            </w:r>
            <w:r w:rsidRPr="00176AA4">
              <w:rPr>
                <w:rFonts w:eastAsia="SimSun" w:cstheme="minorHAnsi"/>
                <w:kern w:val="3"/>
                <w:sz w:val="20"/>
                <w:szCs w:val="20"/>
                <w:vertAlign w:val="superscript"/>
                <w:lang w:eastAsia="zh-CN" w:bidi="hi-IN"/>
              </w:rPr>
              <w:t>ère</w:t>
            </w:r>
            <w:r w:rsidRPr="00176AA4">
              <w:rPr>
                <w:rFonts w:eastAsia="SimSun" w:cstheme="minorHAnsi"/>
                <w:kern w:val="3"/>
                <w:sz w:val="20"/>
                <w:szCs w:val="20"/>
                <w:lang w:eastAsia="zh-CN" w:bidi="hi-IN"/>
              </w:rPr>
              <w:t xml:space="preserve"> </w:t>
            </w:r>
            <w:r>
              <w:rPr>
                <w:rFonts w:eastAsia="SimSun" w:cstheme="minorHAnsi"/>
                <w:kern w:val="3"/>
                <w:sz w:val="20"/>
                <w:szCs w:val="20"/>
                <w:lang w:eastAsia="zh-CN" w:bidi="hi-IN"/>
              </w:rPr>
              <w:br/>
            </w:r>
            <w:r w:rsidRPr="00176AA4">
              <w:rPr>
                <w:rFonts w:eastAsia="SimSun" w:cstheme="minorHAnsi"/>
                <w:kern w:val="3"/>
                <w:sz w:val="20"/>
                <w:szCs w:val="20"/>
                <w:lang w:eastAsia="zh-CN" w:bidi="hi-IN"/>
              </w:rPr>
              <w:t xml:space="preserve">campagne </w:t>
            </w:r>
          </w:p>
        </w:tc>
        <w:tc>
          <w:tcPr>
            <w:tcW w:w="1984"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4"/>
                <w:szCs w:val="24"/>
                <w:lang w:eastAsia="zh-CN" w:bidi="hi-IN"/>
              </w:rPr>
            </w:pPr>
            <w:r w:rsidRPr="00176AA4">
              <w:rPr>
                <w:rFonts w:eastAsia="SimSun" w:cstheme="minorHAnsi"/>
                <w:kern w:val="3"/>
                <w:sz w:val="20"/>
                <w:szCs w:val="20"/>
                <w:lang w:eastAsia="zh-CN" w:bidi="hi-IN"/>
              </w:rPr>
              <w:t>1</w:t>
            </w:r>
            <w:r w:rsidRPr="00176AA4">
              <w:rPr>
                <w:rFonts w:eastAsia="SimSun" w:cstheme="minorHAnsi"/>
                <w:kern w:val="3"/>
                <w:sz w:val="20"/>
                <w:szCs w:val="20"/>
                <w:vertAlign w:val="superscript"/>
                <w:lang w:eastAsia="zh-CN" w:bidi="hi-IN"/>
              </w:rPr>
              <w:t>er</w:t>
            </w:r>
            <w:r w:rsidRPr="00176AA4">
              <w:rPr>
                <w:rFonts w:eastAsia="SimSun" w:cstheme="minorHAnsi"/>
                <w:kern w:val="3"/>
                <w:sz w:val="20"/>
                <w:szCs w:val="20"/>
                <w:lang w:eastAsia="zh-CN" w:bidi="hi-IN"/>
              </w:rPr>
              <w:t>/06 au 31/08</w:t>
            </w:r>
          </w:p>
        </w:tc>
        <w:tc>
          <w:tcPr>
            <w:tcW w:w="1231"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0"/>
                <w:szCs w:val="20"/>
                <w:lang w:eastAsia="zh-CN" w:bidi="hi-IN"/>
              </w:rPr>
            </w:pPr>
            <w:r w:rsidRPr="00176AA4">
              <w:rPr>
                <w:rFonts w:eastAsia="SimSun" w:cstheme="minorHAnsi"/>
                <w:kern w:val="3"/>
                <w:sz w:val="20"/>
                <w:szCs w:val="20"/>
                <w:lang w:eastAsia="zh-CN" w:bidi="hi-IN"/>
              </w:rPr>
              <w:t xml:space="preserve">Septembre </w:t>
            </w:r>
          </w:p>
        </w:tc>
        <w:tc>
          <w:tcPr>
            <w:tcW w:w="1606"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0"/>
                <w:szCs w:val="20"/>
                <w:lang w:eastAsia="zh-CN" w:bidi="hi-IN"/>
              </w:rPr>
            </w:pPr>
            <w:r w:rsidRPr="00176AA4">
              <w:rPr>
                <w:rFonts w:eastAsia="SimSun" w:cstheme="minorHAnsi"/>
                <w:kern w:val="3"/>
                <w:sz w:val="20"/>
                <w:szCs w:val="20"/>
                <w:lang w:eastAsia="zh-CN" w:bidi="hi-IN"/>
              </w:rPr>
              <w:t>Octobre</w:t>
            </w:r>
          </w:p>
        </w:tc>
        <w:tc>
          <w:tcPr>
            <w:tcW w:w="1612"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0"/>
                <w:szCs w:val="20"/>
                <w:lang w:eastAsia="zh-CN" w:bidi="hi-IN"/>
              </w:rPr>
            </w:pPr>
            <w:r w:rsidRPr="00176AA4">
              <w:rPr>
                <w:rFonts w:eastAsia="SimSun" w:cstheme="minorHAnsi"/>
                <w:kern w:val="3"/>
                <w:sz w:val="20"/>
                <w:szCs w:val="20"/>
                <w:lang w:eastAsia="zh-CN" w:bidi="hi-IN"/>
              </w:rPr>
              <w:t>Novembre</w:t>
            </w:r>
          </w:p>
        </w:tc>
        <w:tc>
          <w:tcPr>
            <w:tcW w:w="1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0"/>
                <w:szCs w:val="20"/>
                <w:lang w:eastAsia="zh-CN" w:bidi="hi-IN"/>
              </w:rPr>
            </w:pPr>
            <w:r w:rsidRPr="00176AA4">
              <w:rPr>
                <w:rFonts w:eastAsia="SimSun" w:cstheme="minorHAnsi"/>
                <w:kern w:val="3"/>
                <w:sz w:val="20"/>
                <w:szCs w:val="20"/>
                <w:lang w:eastAsia="zh-CN" w:bidi="hi-IN"/>
              </w:rPr>
              <w:t>A compter de janvier de l’année N+1</w:t>
            </w:r>
          </w:p>
        </w:tc>
      </w:tr>
    </w:tbl>
    <w:p w:rsidR="00C87BBF" w:rsidRDefault="00C87BBF" w:rsidP="00C87BBF">
      <w:pPr>
        <w:spacing w:before="120" w:after="0"/>
        <w:jc w:val="both"/>
      </w:pPr>
      <w:r>
        <w:t xml:space="preserve">La procédure est présentée dans la </w:t>
      </w:r>
      <w:hyperlink r:id="rId9" w:history="1">
        <w:r w:rsidRPr="00CB5D22">
          <w:rPr>
            <w:rStyle w:val="Lienhypertexte"/>
          </w:rPr>
          <w:t>note de service n° 2018-451 du 14 juin 2018</w:t>
        </w:r>
      </w:hyperlink>
      <w:r>
        <w:t xml:space="preserve"> relatif au</w:t>
      </w:r>
      <w:r w:rsidRPr="00240872">
        <w:t xml:space="preserve"> compte personnel de formation : Procédure de mise en œuvre du CPF au ministère chargé de l'agriculture</w:t>
      </w:r>
      <w:r>
        <w:t xml:space="preserve"> ou disponible également sur le site FormCo</w:t>
      </w:r>
      <w:r>
        <w:rPr>
          <w:rStyle w:val="Appelnotedebasdep"/>
        </w:rPr>
        <w:footnoteReference w:id="2"/>
      </w:r>
      <w:r>
        <w:t xml:space="preserve">. </w:t>
      </w:r>
    </w:p>
    <w:p w:rsidR="00C87312" w:rsidRDefault="002E17A6" w:rsidP="00C87BBF">
      <w:pPr>
        <w:spacing w:before="120" w:after="0"/>
        <w:jc w:val="both"/>
      </w:pPr>
      <w:r w:rsidRPr="002E17A6">
        <w:t xml:space="preserve">Pour les agents affectés en Ile-de-France ou dans les départements d’outre-mer et dont la mobilisation de la formation professionnelle est dorénavant gérée par les secrétariats généraux communs ou le SGAMM, la procédure et le calendrier peuvent être adaptés dans un objectif d’harmonisation avec les procédures et calendriers des autres ministères dont ils ont la charge. Les priorités définies par le ministère chargé de l'agriculture, le principe des campagnes et des commissions régionales, d’instruction par l'acteur régional de formation ainsi que le respect du plafond de financement doivent être conservés. La décision finale reste de la compétence du ministère et reste à la signature du bureau de la formation continue et du développement des compétences. L’adaptation des procédures et des calendriers doit être discutée avec le </w:t>
      </w:r>
      <w:r w:rsidR="00A5529B">
        <w:t>Bureau de la formation continue et du développement des compétences (</w:t>
      </w:r>
      <w:r w:rsidRPr="002E17A6">
        <w:t>BFCDC</w:t>
      </w:r>
      <w:r w:rsidR="00A5529B">
        <w:t>)</w:t>
      </w:r>
      <w:r w:rsidRPr="002E17A6">
        <w:t xml:space="preserve"> et portée à la connaissance des agents concer</w:t>
      </w:r>
      <w:r w:rsidR="00A953B0">
        <w:t>nés notamment via le site FormC</w:t>
      </w:r>
      <w:r>
        <w:t>o.</w:t>
      </w:r>
    </w:p>
    <w:p w:rsidR="00C87BBF" w:rsidRPr="003A4D35" w:rsidRDefault="00C87BBF" w:rsidP="00C87BBF">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t xml:space="preserve">Comment se déroule </w:t>
      </w:r>
      <w:r>
        <w:rPr>
          <w:b/>
          <w:color w:val="538135" w:themeColor="accent6" w:themeShade="BF"/>
          <w:sz w:val="24"/>
          <w:szCs w:val="24"/>
        </w:rPr>
        <w:t xml:space="preserve">les actions de formation suivies au titre du CPF </w:t>
      </w:r>
      <w:r w:rsidRPr="003A4D35">
        <w:rPr>
          <w:b/>
          <w:color w:val="538135" w:themeColor="accent6" w:themeShade="BF"/>
          <w:sz w:val="24"/>
          <w:szCs w:val="24"/>
        </w:rPr>
        <w:t>?</w:t>
      </w:r>
    </w:p>
    <w:p w:rsidR="00C87BBF" w:rsidRDefault="00C87BBF" w:rsidP="00C87BBF">
      <w:pPr>
        <w:spacing w:before="120" w:after="0"/>
        <w:jc w:val="both"/>
      </w:pPr>
      <w:r>
        <w:t>Les actions de formation suivies au titre du compte personnel de formation ont lieu, en priorité, pendant le temps de travail. Les heures de formation utilisées dans le cadre du CPF constituent un temps de travail effectif et donnent lieu au maintien de la rémunération.</w:t>
      </w:r>
    </w:p>
    <w:p w:rsidR="00C87BBF" w:rsidRDefault="00C87BBF" w:rsidP="00C87BBF">
      <w:pPr>
        <w:spacing w:before="120" w:after="0"/>
        <w:jc w:val="both"/>
      </w:pPr>
      <w:r>
        <w:t xml:space="preserve">L’agent qui suit une formation hors temps de service, bénéficie de la législation de la sécurité sociale relative à la protection en matière d’accidents du travail et de maladies professionnelles. Le temps </w:t>
      </w:r>
      <w:r>
        <w:lastRenderedPageBreak/>
        <w:t>correspondant n’est pas assimilé à un temps de service pour l’application de l’article L.5 du code des pensions civiles et militaires de retraite.</w:t>
      </w:r>
    </w:p>
    <w:p w:rsidR="000325A5" w:rsidRDefault="000325A5" w:rsidP="00C87BBF">
      <w:pPr>
        <w:spacing w:before="120" w:after="0"/>
        <w:jc w:val="both"/>
      </w:pPr>
    </w:p>
    <w:p w:rsidR="00C87BBF" w:rsidRPr="003A4D35" w:rsidRDefault="00C87BBF" w:rsidP="00C87BBF">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Pr>
          <w:b/>
          <w:color w:val="538135" w:themeColor="accent6" w:themeShade="BF"/>
          <w:sz w:val="24"/>
          <w:szCs w:val="24"/>
        </w:rPr>
        <w:t xml:space="preserve">Arnaques au CPF – Bon à savoir </w:t>
      </w:r>
    </w:p>
    <w:p w:rsidR="00B053D0" w:rsidRDefault="00B053D0" w:rsidP="00C87BBF">
      <w:pPr>
        <w:spacing w:before="120" w:after="0"/>
        <w:jc w:val="both"/>
      </w:pPr>
      <w:r>
        <w:t xml:space="preserve">Lorsque l’agent public du ministère chargé de l’agriculture fait valoir ses droits CPF, il ne peut mobiliser que des </w:t>
      </w:r>
      <w:r w:rsidRPr="00B053D0">
        <w:rPr>
          <w:b/>
        </w:rPr>
        <w:t>droits en heures</w:t>
      </w:r>
      <w:r>
        <w:t>, et non pas euros. La mobilisation de ses droits CPF nécessite une décision signée par le Bureau de la formation continue et du développement des compétences (</w:t>
      </w:r>
      <w:r w:rsidRPr="00176722">
        <w:rPr>
          <w:i/>
        </w:rPr>
        <w:t>selon la procédure prévue par la note de service n° 2018-451 du 14 juin 2018</w:t>
      </w:r>
      <w:r w:rsidR="009C761F">
        <w:rPr>
          <w:i/>
        </w:rPr>
        <w:t xml:space="preserve"> </w:t>
      </w:r>
      <w:r w:rsidR="005D6841">
        <w:rPr>
          <w:i/>
        </w:rPr>
        <w:t>susmentionnée</w:t>
      </w:r>
      <w:r>
        <w:t>).</w:t>
      </w:r>
    </w:p>
    <w:p w:rsidR="00176722" w:rsidRDefault="00B053D0" w:rsidP="00C87BBF">
      <w:pPr>
        <w:spacing w:before="120" w:after="0"/>
        <w:jc w:val="both"/>
      </w:pPr>
      <w:r>
        <w:t>Il n’est donc pas possible pour un agent de la fonction publique</w:t>
      </w:r>
      <w:r w:rsidR="00176722">
        <w:t> :</w:t>
      </w:r>
    </w:p>
    <w:p w:rsidR="00176722" w:rsidRDefault="00B053D0" w:rsidP="00176722">
      <w:pPr>
        <w:pStyle w:val="Paragraphedeliste"/>
        <w:numPr>
          <w:ilvl w:val="0"/>
          <w:numId w:val="4"/>
        </w:numPr>
        <w:spacing w:before="120" w:after="0"/>
        <w:jc w:val="both"/>
      </w:pPr>
      <w:r>
        <w:t>de bénéficier d</w:t>
      </w:r>
      <w:r w:rsidR="00176722">
        <w:t>’un CPF en euros ;</w:t>
      </w:r>
      <w:r>
        <w:t xml:space="preserve"> </w:t>
      </w:r>
    </w:p>
    <w:p w:rsidR="00C87BBF" w:rsidRDefault="00B053D0" w:rsidP="00176722">
      <w:pPr>
        <w:pStyle w:val="Paragraphedeliste"/>
        <w:numPr>
          <w:ilvl w:val="0"/>
          <w:numId w:val="4"/>
        </w:numPr>
        <w:spacing w:before="120" w:after="0"/>
        <w:jc w:val="both"/>
      </w:pPr>
      <w:r>
        <w:t xml:space="preserve">de créer directement </w:t>
      </w:r>
      <w:r w:rsidR="00176722">
        <w:t>un dossier de demande et de s’inscrire à une formation via le site Mon Compte Formation.</w:t>
      </w:r>
    </w:p>
    <w:p w:rsidR="00176722" w:rsidRDefault="00176722" w:rsidP="00176722">
      <w:pPr>
        <w:spacing w:before="120" w:after="0"/>
        <w:jc w:val="both"/>
      </w:pPr>
      <w:r>
        <w:t xml:space="preserve">L’agent public qui convertit ses heures CPF en euros – </w:t>
      </w:r>
      <w:r w:rsidR="009C761F">
        <w:t xml:space="preserve">frauduleusement </w:t>
      </w:r>
      <w:r>
        <w:t>ou de façon erronée – est dans l’illégalité. Dans le cas où il utilise</w:t>
      </w:r>
      <w:r w:rsidR="009C761F">
        <w:t>rait d</w:t>
      </w:r>
      <w:r>
        <w:t>es droits converti</w:t>
      </w:r>
      <w:r w:rsidR="009C761F">
        <w:t>s</w:t>
      </w:r>
      <w:r>
        <w:t xml:space="preserve"> en euros, </w:t>
      </w:r>
      <w:r w:rsidRPr="00D80895">
        <w:t xml:space="preserve">il </w:t>
      </w:r>
      <w:r>
        <w:t>d</w:t>
      </w:r>
      <w:r w:rsidR="009C761F">
        <w:t>evra</w:t>
      </w:r>
      <w:r>
        <w:t xml:space="preserve"> </w:t>
      </w:r>
      <w:r w:rsidRPr="00D80895">
        <w:t>rembourse</w:t>
      </w:r>
      <w:r>
        <w:t>r</w:t>
      </w:r>
      <w:r w:rsidRPr="00D80895">
        <w:t xml:space="preserve"> les sommes correspondantes à son employeur</w:t>
      </w:r>
      <w:r>
        <w:t>,</w:t>
      </w:r>
      <w:r w:rsidRPr="00D80895">
        <w:t xml:space="preserve"> selon une procédure contradictoire dont les modalités sont précisées par l'employeur</w:t>
      </w:r>
      <w:r>
        <w:t>.</w:t>
      </w:r>
    </w:p>
    <w:p w:rsidR="00C87BBF" w:rsidRDefault="00C87BBF" w:rsidP="006E36AD">
      <w:pPr>
        <w:spacing w:before="120" w:after="0"/>
        <w:jc w:val="both"/>
      </w:pPr>
      <w:r>
        <w:rPr>
          <w:noProof/>
          <w:lang w:eastAsia="fr-FR"/>
        </w:rPr>
        <w:drawing>
          <wp:inline distT="0" distB="0" distL="0" distR="0" wp14:anchorId="45B62E5C" wp14:editId="791D4A92">
            <wp:extent cx="342053" cy="30480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445" cy="319407"/>
                    </a:xfrm>
                    <a:prstGeom prst="rect">
                      <a:avLst/>
                    </a:prstGeom>
                  </pic:spPr>
                </pic:pic>
              </a:graphicData>
            </a:graphic>
          </wp:inline>
        </w:drawing>
      </w:r>
      <w:r w:rsidRPr="00C37E06">
        <w:t xml:space="preserve"> </w:t>
      </w:r>
      <w:r w:rsidR="006E36AD">
        <w:t xml:space="preserve">Par conséquent, </w:t>
      </w:r>
      <w:r w:rsidR="006E36AD" w:rsidRPr="006E36AD">
        <w:rPr>
          <w:b/>
        </w:rPr>
        <w:t>t</w:t>
      </w:r>
      <w:r>
        <w:rPr>
          <w:b/>
        </w:rPr>
        <w:t>ous</w:t>
      </w:r>
      <w:r w:rsidRPr="00C37E06">
        <w:rPr>
          <w:b/>
        </w:rPr>
        <w:t xml:space="preserve"> les démarchages téléphoniques </w:t>
      </w:r>
      <w:r w:rsidR="006E36AD">
        <w:rPr>
          <w:b/>
        </w:rPr>
        <w:t xml:space="preserve">auprès d’un agent public </w:t>
      </w:r>
      <w:r w:rsidRPr="00C37E06">
        <w:rPr>
          <w:b/>
        </w:rPr>
        <w:t>sont frauduleu</w:t>
      </w:r>
      <w:r>
        <w:rPr>
          <w:b/>
        </w:rPr>
        <w:t>x</w:t>
      </w:r>
      <w:r>
        <w:t xml:space="preserve">. </w:t>
      </w:r>
    </w:p>
    <w:p w:rsidR="00C87BBF" w:rsidRPr="00D94CCC" w:rsidRDefault="00C87BBF" w:rsidP="00C87BBF">
      <w:pPr>
        <w:spacing w:before="120" w:after="0"/>
        <w:jc w:val="both"/>
      </w:pPr>
    </w:p>
    <w:p w:rsidR="00C87BBF" w:rsidRPr="003A4D35" w:rsidRDefault="00C87BBF" w:rsidP="00C87BBF">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Pr>
          <w:b/>
          <w:color w:val="538135" w:themeColor="accent6" w:themeShade="BF"/>
          <w:sz w:val="24"/>
          <w:szCs w:val="24"/>
        </w:rPr>
        <w:t>Pour aller plus loin…</w:t>
      </w:r>
    </w:p>
    <w:p w:rsidR="00C87BBF" w:rsidRDefault="00C87BBF" w:rsidP="00C87BBF">
      <w:pPr>
        <w:pStyle w:val="Paragraphedeliste"/>
        <w:numPr>
          <w:ilvl w:val="0"/>
          <w:numId w:val="1"/>
        </w:numPr>
        <w:spacing w:before="120" w:after="0"/>
        <w:ind w:left="426" w:hanging="357"/>
        <w:contextualSpacing w:val="0"/>
        <w:jc w:val="both"/>
      </w:pPr>
      <w:r>
        <w:t>Articles L. 422-8 et suivants du code général de la fonction publique ;</w:t>
      </w:r>
    </w:p>
    <w:p w:rsidR="00C87BBF" w:rsidRDefault="00C87BBF" w:rsidP="00C87BBF">
      <w:pPr>
        <w:pStyle w:val="Paragraphedeliste"/>
        <w:numPr>
          <w:ilvl w:val="0"/>
          <w:numId w:val="1"/>
        </w:numPr>
        <w:spacing w:before="120" w:after="0"/>
        <w:ind w:left="426" w:hanging="357"/>
        <w:contextualSpacing w:val="0"/>
        <w:jc w:val="both"/>
      </w:pPr>
      <w:r>
        <w:t xml:space="preserve">Décret </w:t>
      </w:r>
      <w:r w:rsidRPr="00571803">
        <w:t xml:space="preserve">n° 2017-928 du 6 mai 2017 </w:t>
      </w:r>
      <w:r>
        <w:t xml:space="preserve">modifié </w:t>
      </w:r>
      <w:r w:rsidRPr="00571803">
        <w:t>relatif à la mise en œuvre du compte personnel d'activité dans la fonction publique et à la formation professionnelle tout au long de la vie</w:t>
      </w:r>
      <w:r>
        <w:t> ;</w:t>
      </w:r>
    </w:p>
    <w:p w:rsidR="00C87BBF" w:rsidRDefault="00C87BBF" w:rsidP="00C87BBF">
      <w:pPr>
        <w:pStyle w:val="Paragraphedeliste"/>
        <w:numPr>
          <w:ilvl w:val="0"/>
          <w:numId w:val="1"/>
        </w:numPr>
        <w:spacing w:before="120" w:after="0"/>
        <w:ind w:left="426" w:hanging="357"/>
        <w:contextualSpacing w:val="0"/>
        <w:jc w:val="both"/>
      </w:pPr>
      <w:r>
        <w:t xml:space="preserve">Arrêté </w:t>
      </w:r>
      <w:r w:rsidRPr="008B3F64">
        <w:t>l'arrêté AGRS1812269A du 15 mai 2018 portant fixation du plafond de prise en charge du compte personnel de formation ;</w:t>
      </w:r>
    </w:p>
    <w:p w:rsidR="00C87BBF" w:rsidRDefault="00C87BBF" w:rsidP="00C87BBF">
      <w:pPr>
        <w:pStyle w:val="Paragraphedeliste"/>
        <w:numPr>
          <w:ilvl w:val="0"/>
          <w:numId w:val="1"/>
        </w:numPr>
        <w:spacing w:before="120" w:after="0"/>
        <w:ind w:left="426" w:hanging="357"/>
        <w:contextualSpacing w:val="0"/>
        <w:jc w:val="both"/>
      </w:pPr>
      <w:r>
        <w:t>NS</w:t>
      </w:r>
      <w:r w:rsidRPr="008B3F64">
        <w:t xml:space="preserve"> n° 2018-451 du 14 juin 2018 relatif au compte personnel de formation : Procédure de mise en œuvre du CPF au ministère chargé de l'agriculture</w:t>
      </w:r>
      <w:r>
        <w:t> ;</w:t>
      </w:r>
    </w:p>
    <w:p w:rsidR="00C87BBF" w:rsidRDefault="00C87BBF" w:rsidP="00C87BBF">
      <w:pPr>
        <w:spacing w:before="120" w:after="0"/>
        <w:jc w:val="both"/>
      </w:pPr>
    </w:p>
    <w:p w:rsidR="00C87BBF" w:rsidRDefault="00A56313" w:rsidP="00C87BBF">
      <w:pPr>
        <w:spacing w:before="120" w:after="0"/>
        <w:jc w:val="both"/>
      </w:pPr>
      <w:r>
        <w:rPr>
          <w:noProof/>
          <w:lang w:eastAsia="fr-FR"/>
        </w:rPr>
        <mc:AlternateContent>
          <mc:Choice Requires="wps">
            <w:drawing>
              <wp:anchor distT="0" distB="0" distL="114300" distR="114300" simplePos="0" relativeHeight="251659264" behindDoc="0" locked="0" layoutInCell="1" allowOverlap="1" wp14:anchorId="497B3107" wp14:editId="1614ABF8">
                <wp:simplePos x="0" y="0"/>
                <wp:positionH relativeFrom="margin">
                  <wp:posOffset>635</wp:posOffset>
                </wp:positionH>
                <wp:positionV relativeFrom="paragraph">
                  <wp:posOffset>180340</wp:posOffset>
                </wp:positionV>
                <wp:extent cx="5743575" cy="342900"/>
                <wp:effectExtent l="0" t="0" r="28575" b="171450"/>
                <wp:wrapNone/>
                <wp:docPr id="4" name="Rectangle 4"/>
                <wp:cNvGraphicFramePr/>
                <a:graphic xmlns:a="http://schemas.openxmlformats.org/drawingml/2006/main">
                  <a:graphicData uri="http://schemas.microsoft.com/office/word/2010/wordprocessingShape">
                    <wps:wsp>
                      <wps:cNvSpPr/>
                      <wps:spPr>
                        <a:xfrm>
                          <a:off x="0" y="0"/>
                          <a:ext cx="5743575" cy="342900"/>
                        </a:xfrm>
                        <a:prstGeom prst="wedgeRectCallout">
                          <a:avLst>
                            <a:gd name="adj1" fmla="val -20833"/>
                            <a:gd name="adj2" fmla="val 90361"/>
                          </a:avLst>
                        </a:prstGeom>
                        <a:solidFill>
                          <a:sysClr val="window" lastClr="FFFFFF"/>
                        </a:solidFill>
                        <a:ln w="19050" cap="flat" cmpd="sng" algn="ctr">
                          <a:solidFill>
                            <a:srgbClr val="70AD47">
                              <a:lumMod val="75000"/>
                            </a:srgbClr>
                          </a:solidFill>
                          <a:prstDash val="solid"/>
                          <a:miter lim="800000"/>
                        </a:ln>
                        <a:effectLst/>
                      </wps:spPr>
                      <wps:txbx>
                        <w:txbxContent>
                          <w:p w:rsidR="00C87BBF" w:rsidRDefault="00C87BBF" w:rsidP="00C87BBF">
                            <w:pPr>
                              <w:rPr>
                                <w:b/>
                                <w:color w:val="538135" w:themeColor="accent6" w:themeShade="BF"/>
                                <w:sz w:val="24"/>
                                <w:szCs w:val="24"/>
                              </w:rPr>
                            </w:pPr>
                            <w:r>
                              <w:rPr>
                                <w:b/>
                                <w:color w:val="538135" w:themeColor="accent6" w:themeShade="BF"/>
                                <w:sz w:val="24"/>
                                <w:szCs w:val="24"/>
                              </w:rPr>
                              <w:t>EXEMPLES DE MOBILISATION DU COMPTE PERSONNEL DE FORMATION PAR...</w:t>
                            </w:r>
                          </w:p>
                          <w:p w:rsidR="00C87BBF" w:rsidRPr="0094359B" w:rsidRDefault="00C87BBF" w:rsidP="00C87BBF">
                            <w:pPr>
                              <w:rPr>
                                <w:b/>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B31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4" o:spid="_x0000_s1026" type="#_x0000_t61" style="position:absolute;left:0;text-align:left;margin-left:.05pt;margin-top:14.2pt;width:452.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QFwAIAAIwFAAAOAAAAZHJzL2Uyb0RvYy54bWysVN1v2jAQf5+0/8Hye5sAoRTUUCEQ06Su&#10;rdZOfTaOk3jy12xDYH/9zo6b0m1P03gwd7nzz3e/+7i5PUqBDsw6rlWJR5c5RkxRXXHVlPjb8/bi&#10;GiPniaqI0IqV+MQcvl1+/HDTmQUb61aLilkEIMotOlPi1nuzyDJHWyaJu9SGKTDW2kriQbVNVlnS&#10;AboU2TjPr7JO28pYTZlz8HXTG/Ey4tc1o/6hrh3zSJQYYvPxtPHchTNb3pBFY4lpOU1hkH+IQhKu&#10;4NEBakM8QXvL/4CSnFrtdO0vqZaZrmtOWcwBshnlv2Xz1BLDYi5AjjMDTe7/wdL7w6NFvCpxgZEi&#10;Ekr0FUgjqhEMFYGezrgFeD2ZR5s0B2LI9VhbGf4hC3SMlJ4GStnRIwofp7NiMp1NMaJgmxTjeR45&#10;z95uG+v8J6YlCkKJO1Y1LISwJkLovY+sksOd85HeKgVJqu8jjGopoFoHItDFOL+eTFI5z5zG507z&#10;fHI1Cj7wfIIE6TWAgO+04NWWCxGVk1sLiwAewuKq0h1GgjgPH0u8jb8E9u6aUKiDUZjnU2g4SqCp&#10;a0E8iNIAzU41GBHRwLRQb2N272472+yGV2f5alPMopPYyy+66oOZTfOBxuQfc3oHFNLaENf2V6Kp&#10;p0dyDyMnuCzxNeAMSEKFpFkcGqA70BRq31c7SP64O6YW2OnqBH1jdT9QztAth/fugJ1HYqEmkDps&#10;Bf8ARy008KGThFGr7c+/fQ/+0NhgxaiDiQSufuyJZUD6ZwUtPx8VRRjhqBTT2RgUe27ZnVvUXq41&#10;FA66BKKLYvD34lWsrZYvsDxW4VUwEUXh7b4qSVn7flPA+qFstYpuMLaG+Dv1ZGgAD5QFpp+PL8Sa&#10;1MMeuv9ev05v6rW+7d58w02lV3uvaz6Q3fOamIeRj2VN6ynslHM9er0t0eUvAAAA//8DAFBLAwQU&#10;AAYACAAAACEAT4PT2dwAAAAGAQAADwAAAGRycy9kb3ducmV2LnhtbEyOwU7DMBBE70j8g7VI3KhD&#10;iKoQsqkqUIXECUoPHN14SULjdWq7SeDrcU9wHM3ozStXs+nFSM53lhFuFwkI4trqjhuE3fvmJgfh&#10;g2KtesuE8E0eVtXlRakKbSd+o3EbGhEh7AuF0IYwFFL6uiWj/MIOxLH7tM6oEKNrpHZqinDTyzRJ&#10;ltKojuNDqwZ6bKk+bE8G4bjL1s8vx9TdvY7ux06br+7j8IR4fTWvH0AEmsPfGM76UR2q6LS3J9Ze&#10;9OcsAkKaZyBie59kSxB7hDzNQFal/K9f/QIAAP//AwBQSwECLQAUAAYACAAAACEAtoM4kv4AAADh&#10;AQAAEwAAAAAAAAAAAAAAAAAAAAAAW0NvbnRlbnRfVHlwZXNdLnhtbFBLAQItABQABgAIAAAAIQA4&#10;/SH/1gAAAJQBAAALAAAAAAAAAAAAAAAAAC8BAABfcmVscy8ucmVsc1BLAQItABQABgAIAAAAIQAY&#10;SVQFwAIAAIwFAAAOAAAAAAAAAAAAAAAAAC4CAABkcnMvZTJvRG9jLnhtbFBLAQItABQABgAIAAAA&#10;IQBPg9PZ3AAAAAYBAAAPAAAAAAAAAAAAAAAAABoFAABkcnMvZG93bnJldi54bWxQSwUGAAAAAAQA&#10;BADzAAAAIwYAAAAA&#10;" adj="6300,30318" fillcolor="window" strokecolor="#548235" strokeweight="1.5pt">
                <v:textbox>
                  <w:txbxContent>
                    <w:p w:rsidR="00C87BBF" w:rsidRDefault="00C87BBF" w:rsidP="00C87BBF">
                      <w:pPr>
                        <w:rPr>
                          <w:b/>
                          <w:color w:val="538135" w:themeColor="accent6" w:themeShade="BF"/>
                          <w:sz w:val="24"/>
                          <w:szCs w:val="24"/>
                        </w:rPr>
                      </w:pPr>
                      <w:r>
                        <w:rPr>
                          <w:b/>
                          <w:color w:val="538135" w:themeColor="accent6" w:themeShade="BF"/>
                          <w:sz w:val="24"/>
                          <w:szCs w:val="24"/>
                        </w:rPr>
                        <w:t>EXEMPLES DE MOBILISATION DU COMPTE PERSONNEL DE FORMATION PAR...</w:t>
                      </w:r>
                    </w:p>
                    <w:p w:rsidR="00C87BBF" w:rsidRPr="0094359B" w:rsidRDefault="00C87BBF" w:rsidP="00C87BBF">
                      <w:pPr>
                        <w:rPr>
                          <w:b/>
                          <w:color w:val="538135" w:themeColor="accent6" w:themeShade="BF"/>
                          <w:sz w:val="24"/>
                          <w:szCs w:val="24"/>
                        </w:rPr>
                      </w:pPr>
                    </w:p>
                  </w:txbxContent>
                </v:textbox>
                <w10:wrap anchorx="margin"/>
              </v:shape>
            </w:pict>
          </mc:Fallback>
        </mc:AlternateContent>
      </w:r>
    </w:p>
    <w:p w:rsidR="00C87BBF" w:rsidRDefault="00C87BBF" w:rsidP="00C87BBF">
      <w:pPr>
        <w:spacing w:before="120" w:after="0"/>
        <w:jc w:val="both"/>
      </w:pPr>
    </w:p>
    <w:p w:rsidR="00C87BBF" w:rsidRDefault="00C87BBF" w:rsidP="0064538B">
      <w:pPr>
        <w:pStyle w:val="Paragraphedeliste"/>
        <w:numPr>
          <w:ilvl w:val="0"/>
          <w:numId w:val="3"/>
        </w:numPr>
        <w:spacing w:before="360" w:after="180"/>
        <w:jc w:val="both"/>
        <w:rPr>
          <w:sz w:val="24"/>
          <w:szCs w:val="24"/>
        </w:rPr>
      </w:pPr>
      <w:r w:rsidRPr="00141E08">
        <w:rPr>
          <w:sz w:val="24"/>
          <w:szCs w:val="24"/>
        </w:rPr>
        <w:t>Un agent</w:t>
      </w:r>
      <w:r w:rsidR="009709F6">
        <w:rPr>
          <w:sz w:val="24"/>
          <w:szCs w:val="24"/>
        </w:rPr>
        <w:t>,</w:t>
      </w:r>
      <w:r w:rsidRPr="00141E08">
        <w:rPr>
          <w:sz w:val="24"/>
          <w:szCs w:val="24"/>
        </w:rPr>
        <w:t xml:space="preserve"> chef de service en DDT</w:t>
      </w:r>
      <w:r w:rsidR="009709F6">
        <w:rPr>
          <w:sz w:val="24"/>
          <w:szCs w:val="24"/>
        </w:rPr>
        <w:t>,</w:t>
      </w:r>
      <w:r w:rsidRPr="00141E08">
        <w:rPr>
          <w:sz w:val="24"/>
          <w:szCs w:val="24"/>
        </w:rPr>
        <w:t xml:space="preserve"> </w:t>
      </w:r>
      <w:r w:rsidR="0064538B">
        <w:rPr>
          <w:sz w:val="24"/>
          <w:szCs w:val="24"/>
        </w:rPr>
        <w:t xml:space="preserve">souhaite évoluer professionnellement </w:t>
      </w:r>
      <w:r w:rsidR="009709F6">
        <w:rPr>
          <w:sz w:val="24"/>
          <w:szCs w:val="24"/>
        </w:rPr>
        <w:t>et est intéressé par de</w:t>
      </w:r>
      <w:r w:rsidRPr="00141E08">
        <w:rPr>
          <w:sz w:val="24"/>
          <w:szCs w:val="24"/>
        </w:rPr>
        <w:t>s postes à l’international dans son domaine d’activité. Il n’a pas été retenu jusqu’à présent en raison de son niveau d'anglais jugé trop faible. Pour monter en compétences en langue anglaise,</w:t>
      </w:r>
      <w:r w:rsidR="0064538B">
        <w:rPr>
          <w:sz w:val="24"/>
          <w:szCs w:val="24"/>
        </w:rPr>
        <w:t xml:space="preserve"> il a obtenu l’accord du ministère de </w:t>
      </w:r>
      <w:r w:rsidR="00801D28">
        <w:rPr>
          <w:sz w:val="24"/>
          <w:szCs w:val="24"/>
        </w:rPr>
        <w:t>mobiliser son CPF. Il suivra</w:t>
      </w:r>
      <w:r w:rsidRPr="00141E08">
        <w:rPr>
          <w:sz w:val="24"/>
          <w:szCs w:val="24"/>
        </w:rPr>
        <w:t xml:space="preserve"> </w:t>
      </w:r>
      <w:r w:rsidR="0064538B">
        <w:rPr>
          <w:sz w:val="24"/>
          <w:szCs w:val="24"/>
        </w:rPr>
        <w:t xml:space="preserve">une formation </w:t>
      </w:r>
      <w:r w:rsidRPr="00141E08">
        <w:rPr>
          <w:sz w:val="24"/>
          <w:szCs w:val="24"/>
        </w:rPr>
        <w:t>à distance</w:t>
      </w:r>
      <w:r w:rsidR="0064538B">
        <w:rPr>
          <w:sz w:val="24"/>
          <w:szCs w:val="24"/>
        </w:rPr>
        <w:t xml:space="preserve"> de 125 h</w:t>
      </w:r>
      <w:r w:rsidR="00801D28">
        <w:rPr>
          <w:sz w:val="24"/>
          <w:szCs w:val="24"/>
        </w:rPr>
        <w:t>eures pour un coût de</w:t>
      </w:r>
      <w:r w:rsidR="0064538B">
        <w:rPr>
          <w:sz w:val="24"/>
          <w:szCs w:val="24"/>
        </w:rPr>
        <w:t xml:space="preserve"> 2 000 euros </w:t>
      </w:r>
      <w:r w:rsidR="00801D28">
        <w:rPr>
          <w:sz w:val="24"/>
          <w:szCs w:val="24"/>
        </w:rPr>
        <w:t>financés</w:t>
      </w:r>
      <w:r w:rsidR="0064538B">
        <w:rPr>
          <w:sz w:val="24"/>
          <w:szCs w:val="24"/>
        </w:rPr>
        <w:t xml:space="preserve"> par le ministère.</w:t>
      </w:r>
      <w:r w:rsidRPr="00141E08">
        <w:rPr>
          <w:sz w:val="24"/>
          <w:szCs w:val="24"/>
        </w:rPr>
        <w:t xml:space="preserve"> </w:t>
      </w:r>
    </w:p>
    <w:p w:rsidR="00507F4B" w:rsidRPr="0064538B" w:rsidRDefault="00507F4B" w:rsidP="00507F4B">
      <w:pPr>
        <w:pStyle w:val="Paragraphedeliste"/>
        <w:spacing w:before="360" w:after="180"/>
        <w:jc w:val="both"/>
        <w:rPr>
          <w:sz w:val="24"/>
          <w:szCs w:val="24"/>
        </w:rPr>
      </w:pPr>
    </w:p>
    <w:p w:rsidR="00507F4B" w:rsidRDefault="00C87BBF" w:rsidP="00507F4B">
      <w:pPr>
        <w:pStyle w:val="Paragraphedeliste"/>
        <w:numPr>
          <w:ilvl w:val="0"/>
          <w:numId w:val="3"/>
        </w:numPr>
        <w:spacing w:before="360" w:after="180"/>
        <w:jc w:val="both"/>
        <w:rPr>
          <w:sz w:val="24"/>
          <w:szCs w:val="24"/>
        </w:rPr>
      </w:pPr>
      <w:r w:rsidRPr="00507F4B">
        <w:rPr>
          <w:sz w:val="24"/>
          <w:szCs w:val="24"/>
        </w:rPr>
        <w:t xml:space="preserve">Un agent TSMA en abattoir souhaite se reconvertir et s’installer comme reflexologue en libéral. </w:t>
      </w:r>
      <w:r w:rsidR="00507F4B" w:rsidRPr="00507F4B">
        <w:rPr>
          <w:sz w:val="24"/>
          <w:szCs w:val="24"/>
        </w:rPr>
        <w:t>Son compteur CPF affiche 150</w:t>
      </w:r>
      <w:r w:rsidR="00507F4B">
        <w:rPr>
          <w:sz w:val="24"/>
          <w:szCs w:val="24"/>
        </w:rPr>
        <w:t xml:space="preserve"> </w:t>
      </w:r>
      <w:r w:rsidR="00507F4B" w:rsidRPr="00507F4B">
        <w:rPr>
          <w:sz w:val="24"/>
          <w:szCs w:val="24"/>
        </w:rPr>
        <w:t>h</w:t>
      </w:r>
      <w:r w:rsidR="00507F4B">
        <w:rPr>
          <w:sz w:val="24"/>
          <w:szCs w:val="24"/>
        </w:rPr>
        <w:t>eures</w:t>
      </w:r>
      <w:r w:rsidR="00507F4B" w:rsidRPr="00507F4B">
        <w:rPr>
          <w:sz w:val="24"/>
          <w:szCs w:val="24"/>
        </w:rPr>
        <w:t xml:space="preserve">. </w:t>
      </w:r>
      <w:r w:rsidRPr="00507F4B">
        <w:rPr>
          <w:sz w:val="24"/>
          <w:szCs w:val="24"/>
        </w:rPr>
        <w:t xml:space="preserve">Il dispose d'un certificat du médecin du travail attestant d’une exposition à un risque d’inaptitude à l’exercice de ses fonctions, le faisant </w:t>
      </w:r>
      <w:r w:rsidR="00507F4B">
        <w:rPr>
          <w:sz w:val="24"/>
          <w:szCs w:val="24"/>
        </w:rPr>
        <w:t xml:space="preserve">ainsi </w:t>
      </w:r>
      <w:r w:rsidRPr="009709F6">
        <w:rPr>
          <w:sz w:val="24"/>
          <w:szCs w:val="24"/>
        </w:rPr>
        <w:t>bénéficier d’un crédit d’heures supplémentaires</w:t>
      </w:r>
      <w:r w:rsidR="0064538B" w:rsidRPr="009709F6">
        <w:rPr>
          <w:sz w:val="24"/>
          <w:szCs w:val="24"/>
        </w:rPr>
        <w:t xml:space="preserve"> de 150 heures</w:t>
      </w:r>
      <w:r w:rsidRPr="00507F4B">
        <w:rPr>
          <w:sz w:val="24"/>
          <w:szCs w:val="24"/>
        </w:rPr>
        <w:t xml:space="preserve">. </w:t>
      </w:r>
    </w:p>
    <w:p w:rsidR="009709F6" w:rsidRDefault="00507F4B" w:rsidP="00507F4B">
      <w:pPr>
        <w:pStyle w:val="Paragraphedeliste"/>
        <w:spacing w:before="360" w:after="180"/>
        <w:jc w:val="both"/>
        <w:rPr>
          <w:sz w:val="24"/>
          <w:szCs w:val="24"/>
        </w:rPr>
      </w:pPr>
      <w:r w:rsidRPr="00507F4B">
        <w:rPr>
          <w:sz w:val="24"/>
          <w:szCs w:val="24"/>
        </w:rPr>
        <w:t>La formation qu’il souhaite suivre est d’une durée de 322</w:t>
      </w:r>
      <w:r w:rsidR="00C24D6C">
        <w:rPr>
          <w:sz w:val="24"/>
          <w:szCs w:val="24"/>
        </w:rPr>
        <w:t xml:space="preserve"> </w:t>
      </w:r>
      <w:r w:rsidRPr="00507F4B">
        <w:rPr>
          <w:sz w:val="24"/>
          <w:szCs w:val="24"/>
        </w:rPr>
        <w:t>h</w:t>
      </w:r>
      <w:r w:rsidR="00C24D6C">
        <w:rPr>
          <w:sz w:val="24"/>
          <w:szCs w:val="24"/>
        </w:rPr>
        <w:t>eures</w:t>
      </w:r>
      <w:r w:rsidRPr="00507F4B">
        <w:rPr>
          <w:sz w:val="24"/>
          <w:szCs w:val="24"/>
        </w:rPr>
        <w:t xml:space="preserve"> pour un coût de 4</w:t>
      </w:r>
      <w:r w:rsidR="00C24D6C">
        <w:rPr>
          <w:sz w:val="24"/>
          <w:szCs w:val="24"/>
        </w:rPr>
        <w:t> </w:t>
      </w:r>
      <w:r w:rsidRPr="00507F4B">
        <w:rPr>
          <w:sz w:val="24"/>
          <w:szCs w:val="24"/>
        </w:rPr>
        <w:t>500</w:t>
      </w:r>
      <w:r w:rsidR="00C24D6C">
        <w:rPr>
          <w:sz w:val="24"/>
          <w:szCs w:val="24"/>
        </w:rPr>
        <w:t> </w:t>
      </w:r>
      <w:r w:rsidRPr="00507F4B">
        <w:rPr>
          <w:sz w:val="24"/>
          <w:szCs w:val="24"/>
        </w:rPr>
        <w:t xml:space="preserve">€. </w:t>
      </w:r>
    </w:p>
    <w:p w:rsidR="009709F6" w:rsidRDefault="00507F4B" w:rsidP="00507F4B">
      <w:pPr>
        <w:pStyle w:val="Paragraphedeliste"/>
        <w:spacing w:before="360" w:after="180"/>
        <w:jc w:val="both"/>
        <w:rPr>
          <w:sz w:val="24"/>
          <w:szCs w:val="24"/>
        </w:rPr>
      </w:pPr>
      <w:r w:rsidRPr="00507F4B">
        <w:rPr>
          <w:sz w:val="24"/>
          <w:szCs w:val="24"/>
        </w:rPr>
        <w:t xml:space="preserve">Le ministère </w:t>
      </w:r>
      <w:r w:rsidR="009709F6">
        <w:rPr>
          <w:sz w:val="24"/>
          <w:szCs w:val="24"/>
        </w:rPr>
        <w:t>l’autorise à</w:t>
      </w:r>
      <w:r w:rsidRPr="00507F4B">
        <w:rPr>
          <w:sz w:val="24"/>
          <w:szCs w:val="24"/>
        </w:rPr>
        <w:t xml:space="preserve"> mobiliser son CPF </w:t>
      </w:r>
      <w:r w:rsidR="00801D28">
        <w:rPr>
          <w:sz w:val="24"/>
          <w:szCs w:val="24"/>
        </w:rPr>
        <w:t>et</w:t>
      </w:r>
      <w:r>
        <w:rPr>
          <w:sz w:val="24"/>
          <w:szCs w:val="24"/>
        </w:rPr>
        <w:t xml:space="preserve"> finance</w:t>
      </w:r>
      <w:r w:rsidR="00801D28">
        <w:rPr>
          <w:sz w:val="24"/>
          <w:szCs w:val="24"/>
        </w:rPr>
        <w:t xml:space="preserve"> l’action de formation </w:t>
      </w:r>
      <w:r>
        <w:rPr>
          <w:sz w:val="24"/>
          <w:szCs w:val="24"/>
        </w:rPr>
        <w:t>à hauteur de</w:t>
      </w:r>
      <w:r w:rsidRPr="00507F4B">
        <w:rPr>
          <w:sz w:val="24"/>
          <w:szCs w:val="24"/>
        </w:rPr>
        <w:t xml:space="preserve"> 3 500 </w:t>
      </w:r>
      <w:r>
        <w:rPr>
          <w:sz w:val="24"/>
          <w:szCs w:val="24"/>
        </w:rPr>
        <w:t xml:space="preserve">€. </w:t>
      </w:r>
    </w:p>
    <w:p w:rsidR="00507F4B" w:rsidRDefault="00507F4B" w:rsidP="00507F4B">
      <w:pPr>
        <w:pStyle w:val="Paragraphedeliste"/>
        <w:spacing w:before="360" w:after="180"/>
        <w:jc w:val="both"/>
        <w:rPr>
          <w:sz w:val="24"/>
          <w:szCs w:val="24"/>
        </w:rPr>
      </w:pPr>
      <w:r>
        <w:rPr>
          <w:sz w:val="24"/>
          <w:szCs w:val="24"/>
        </w:rPr>
        <w:t>L’agent suivra</w:t>
      </w:r>
      <w:r w:rsidR="00C87BBF" w:rsidRPr="00507F4B">
        <w:rPr>
          <w:sz w:val="24"/>
          <w:szCs w:val="24"/>
        </w:rPr>
        <w:t xml:space="preserve"> </w:t>
      </w:r>
      <w:r w:rsidR="00C24D6C">
        <w:rPr>
          <w:sz w:val="24"/>
          <w:szCs w:val="24"/>
        </w:rPr>
        <w:t xml:space="preserve">donc </w:t>
      </w:r>
      <w:r w:rsidR="00C87BBF" w:rsidRPr="00507F4B">
        <w:rPr>
          <w:sz w:val="24"/>
          <w:szCs w:val="24"/>
        </w:rPr>
        <w:t xml:space="preserve">la formation </w:t>
      </w:r>
      <w:r>
        <w:rPr>
          <w:sz w:val="24"/>
          <w:szCs w:val="24"/>
        </w:rPr>
        <w:t>selon les modalités suivantes :</w:t>
      </w:r>
      <w:r w:rsidRPr="00507F4B">
        <w:rPr>
          <w:sz w:val="24"/>
          <w:szCs w:val="24"/>
        </w:rPr>
        <w:t xml:space="preserve"> </w:t>
      </w:r>
      <w:r w:rsidR="00C24D6C">
        <w:rPr>
          <w:sz w:val="24"/>
          <w:szCs w:val="24"/>
        </w:rPr>
        <w:t xml:space="preserve">mobilisation de </w:t>
      </w:r>
      <w:r w:rsidRPr="00507F4B">
        <w:rPr>
          <w:sz w:val="24"/>
          <w:szCs w:val="24"/>
        </w:rPr>
        <w:t>300</w:t>
      </w:r>
      <w:r>
        <w:rPr>
          <w:sz w:val="24"/>
          <w:szCs w:val="24"/>
        </w:rPr>
        <w:t xml:space="preserve"> </w:t>
      </w:r>
      <w:r w:rsidRPr="00507F4B">
        <w:rPr>
          <w:sz w:val="24"/>
          <w:szCs w:val="24"/>
        </w:rPr>
        <w:t>h</w:t>
      </w:r>
      <w:r>
        <w:rPr>
          <w:sz w:val="24"/>
          <w:szCs w:val="24"/>
        </w:rPr>
        <w:t>eures au titre de ses heures</w:t>
      </w:r>
      <w:r w:rsidRPr="00507F4B">
        <w:rPr>
          <w:sz w:val="24"/>
          <w:szCs w:val="24"/>
        </w:rPr>
        <w:t xml:space="preserve"> CPF et 22 </w:t>
      </w:r>
      <w:r w:rsidR="009709F6">
        <w:rPr>
          <w:sz w:val="24"/>
          <w:szCs w:val="24"/>
        </w:rPr>
        <w:t>heures sur des jours de congés</w:t>
      </w:r>
      <w:r w:rsidR="00C24D6C">
        <w:rPr>
          <w:sz w:val="24"/>
          <w:szCs w:val="24"/>
        </w:rPr>
        <w:t>, avec</w:t>
      </w:r>
      <w:r w:rsidR="009709F6">
        <w:rPr>
          <w:sz w:val="24"/>
          <w:szCs w:val="24"/>
        </w:rPr>
        <w:t xml:space="preserve"> un cofinancement de </w:t>
      </w:r>
      <w:r w:rsidRPr="00507F4B">
        <w:rPr>
          <w:sz w:val="24"/>
          <w:szCs w:val="24"/>
        </w:rPr>
        <w:t>1 000 €</w:t>
      </w:r>
      <w:r w:rsidR="00801D28">
        <w:rPr>
          <w:sz w:val="24"/>
          <w:szCs w:val="24"/>
        </w:rPr>
        <w:t xml:space="preserve"> </w:t>
      </w:r>
      <w:r w:rsidR="009709F6">
        <w:rPr>
          <w:sz w:val="24"/>
          <w:szCs w:val="24"/>
        </w:rPr>
        <w:t>à sa charge pour compléter le coût de la formation</w:t>
      </w:r>
      <w:r w:rsidRPr="00507F4B">
        <w:rPr>
          <w:sz w:val="24"/>
          <w:szCs w:val="24"/>
        </w:rPr>
        <w:t xml:space="preserve">. </w:t>
      </w:r>
    </w:p>
    <w:p w:rsidR="00507F4B" w:rsidRPr="00507F4B" w:rsidRDefault="00507F4B" w:rsidP="00507F4B">
      <w:pPr>
        <w:pStyle w:val="Paragraphedeliste"/>
        <w:spacing w:before="360" w:after="180"/>
        <w:jc w:val="both"/>
        <w:rPr>
          <w:sz w:val="24"/>
          <w:szCs w:val="24"/>
        </w:rPr>
      </w:pPr>
    </w:p>
    <w:p w:rsidR="00801D28" w:rsidRDefault="00C87BBF" w:rsidP="00F17EDE">
      <w:pPr>
        <w:pStyle w:val="Paragraphedeliste"/>
        <w:numPr>
          <w:ilvl w:val="0"/>
          <w:numId w:val="3"/>
        </w:numPr>
        <w:spacing w:before="360" w:after="180"/>
        <w:jc w:val="both"/>
        <w:rPr>
          <w:sz w:val="24"/>
          <w:szCs w:val="24"/>
        </w:rPr>
      </w:pPr>
      <w:r w:rsidRPr="00507F4B">
        <w:rPr>
          <w:sz w:val="24"/>
          <w:szCs w:val="24"/>
        </w:rPr>
        <w:t xml:space="preserve">Un enseignant dans un lycée privé souhaite se reconvertir </w:t>
      </w:r>
      <w:r w:rsidR="00801D28">
        <w:rPr>
          <w:sz w:val="24"/>
          <w:szCs w:val="24"/>
        </w:rPr>
        <w:t xml:space="preserve">dans le secteur privé </w:t>
      </w:r>
      <w:r w:rsidRPr="00507F4B">
        <w:rPr>
          <w:sz w:val="24"/>
          <w:szCs w:val="24"/>
        </w:rPr>
        <w:t>et créer un lieu dédié à l’art de la marionnette</w:t>
      </w:r>
      <w:r w:rsidR="00801D28">
        <w:rPr>
          <w:sz w:val="24"/>
          <w:szCs w:val="24"/>
        </w:rPr>
        <w:t>. Il dispose d’un compteur CPF de</w:t>
      </w:r>
      <w:r w:rsidRPr="00507F4B">
        <w:rPr>
          <w:sz w:val="24"/>
          <w:szCs w:val="24"/>
        </w:rPr>
        <w:t xml:space="preserve"> 150 heures. </w:t>
      </w:r>
    </w:p>
    <w:p w:rsidR="00801D28" w:rsidRDefault="00C87BBF" w:rsidP="00801D28">
      <w:pPr>
        <w:pStyle w:val="Paragraphedeliste"/>
        <w:spacing w:before="360" w:after="180"/>
        <w:jc w:val="both"/>
        <w:rPr>
          <w:sz w:val="24"/>
          <w:szCs w:val="24"/>
        </w:rPr>
      </w:pPr>
      <w:r w:rsidRPr="00507F4B">
        <w:rPr>
          <w:sz w:val="24"/>
          <w:szCs w:val="24"/>
        </w:rPr>
        <w:t>La formation «</w:t>
      </w:r>
      <w:r w:rsidR="00801D28">
        <w:rPr>
          <w:sz w:val="24"/>
          <w:szCs w:val="24"/>
        </w:rPr>
        <w:t> marionnettes à gaine </w:t>
      </w:r>
      <w:r w:rsidRPr="00507F4B">
        <w:rPr>
          <w:sz w:val="24"/>
          <w:szCs w:val="24"/>
        </w:rPr>
        <w:t xml:space="preserve">» </w:t>
      </w:r>
      <w:r w:rsidR="00801D28">
        <w:rPr>
          <w:sz w:val="24"/>
          <w:szCs w:val="24"/>
        </w:rPr>
        <w:t xml:space="preserve">qu’il a sélectionnée </w:t>
      </w:r>
      <w:r w:rsidRPr="00507F4B">
        <w:rPr>
          <w:sz w:val="24"/>
          <w:szCs w:val="24"/>
        </w:rPr>
        <w:t xml:space="preserve">est d’une durée de 170 heures et coûte 4 100 €. </w:t>
      </w:r>
      <w:r w:rsidR="00801D28">
        <w:rPr>
          <w:sz w:val="24"/>
          <w:szCs w:val="24"/>
        </w:rPr>
        <w:t xml:space="preserve">Le ministère lui accorde le droit de mobiliser son CPF. </w:t>
      </w:r>
    </w:p>
    <w:p w:rsidR="00801D28" w:rsidRDefault="00801D28" w:rsidP="00801D28">
      <w:pPr>
        <w:pStyle w:val="Paragraphedeliste"/>
        <w:spacing w:before="360" w:after="180"/>
        <w:jc w:val="both"/>
        <w:rPr>
          <w:sz w:val="24"/>
          <w:szCs w:val="24"/>
        </w:rPr>
      </w:pPr>
    </w:p>
    <w:p w:rsidR="00801D28" w:rsidRDefault="00801D28" w:rsidP="00801D28">
      <w:pPr>
        <w:pStyle w:val="Paragraphedeliste"/>
        <w:spacing w:before="360" w:after="180"/>
        <w:jc w:val="both"/>
        <w:rPr>
          <w:sz w:val="24"/>
          <w:szCs w:val="24"/>
        </w:rPr>
      </w:pPr>
      <w:r>
        <w:rPr>
          <w:sz w:val="24"/>
          <w:szCs w:val="24"/>
        </w:rPr>
        <w:t>L’agent</w:t>
      </w:r>
      <w:r w:rsidR="00C87BBF" w:rsidRPr="00507F4B">
        <w:rPr>
          <w:sz w:val="24"/>
          <w:szCs w:val="24"/>
        </w:rPr>
        <w:t xml:space="preserve"> suit la formation</w:t>
      </w:r>
      <w:r>
        <w:rPr>
          <w:sz w:val="24"/>
          <w:szCs w:val="24"/>
        </w:rPr>
        <w:t xml:space="preserve"> : </w:t>
      </w:r>
    </w:p>
    <w:p w:rsidR="00801D28" w:rsidRDefault="00801D28" w:rsidP="00801D28">
      <w:pPr>
        <w:pStyle w:val="Paragraphedeliste"/>
        <w:spacing w:before="360" w:after="180"/>
        <w:jc w:val="both"/>
        <w:rPr>
          <w:sz w:val="24"/>
          <w:szCs w:val="24"/>
        </w:rPr>
      </w:pPr>
      <w:r>
        <w:rPr>
          <w:sz w:val="24"/>
          <w:szCs w:val="24"/>
        </w:rPr>
        <w:t xml:space="preserve">- en mobilisant </w:t>
      </w:r>
      <w:r w:rsidR="00C87BBF" w:rsidRPr="00507F4B">
        <w:rPr>
          <w:sz w:val="24"/>
          <w:szCs w:val="24"/>
        </w:rPr>
        <w:t>150</w:t>
      </w:r>
      <w:r>
        <w:rPr>
          <w:sz w:val="24"/>
          <w:szCs w:val="24"/>
        </w:rPr>
        <w:t xml:space="preserve"> </w:t>
      </w:r>
      <w:r w:rsidR="00C87BBF" w:rsidRPr="00507F4B">
        <w:rPr>
          <w:sz w:val="24"/>
          <w:szCs w:val="24"/>
        </w:rPr>
        <w:t>h</w:t>
      </w:r>
      <w:r>
        <w:rPr>
          <w:sz w:val="24"/>
          <w:szCs w:val="24"/>
        </w:rPr>
        <w:t>eures au titre de ces heures</w:t>
      </w:r>
      <w:r w:rsidR="00C87BBF" w:rsidRPr="00507F4B">
        <w:rPr>
          <w:sz w:val="24"/>
          <w:szCs w:val="24"/>
        </w:rPr>
        <w:t xml:space="preserve"> CPF</w:t>
      </w:r>
      <w:r>
        <w:rPr>
          <w:sz w:val="24"/>
          <w:szCs w:val="24"/>
        </w:rPr>
        <w:t>, les</w:t>
      </w:r>
      <w:r w:rsidR="00C87BBF" w:rsidRPr="00507F4B">
        <w:rPr>
          <w:sz w:val="24"/>
          <w:szCs w:val="24"/>
        </w:rPr>
        <w:t xml:space="preserve"> </w:t>
      </w:r>
      <w:r w:rsidRPr="00507F4B">
        <w:rPr>
          <w:sz w:val="24"/>
          <w:szCs w:val="24"/>
        </w:rPr>
        <w:t>20 heures restantes s</w:t>
      </w:r>
      <w:r>
        <w:rPr>
          <w:sz w:val="24"/>
          <w:szCs w:val="24"/>
        </w:rPr>
        <w:t>eront suivies sur s</w:t>
      </w:r>
      <w:r w:rsidRPr="00507F4B">
        <w:rPr>
          <w:sz w:val="24"/>
          <w:szCs w:val="24"/>
        </w:rPr>
        <w:t>on temps personnel</w:t>
      </w:r>
      <w:r>
        <w:rPr>
          <w:sz w:val="24"/>
          <w:szCs w:val="24"/>
        </w:rPr>
        <w:t> ;</w:t>
      </w:r>
    </w:p>
    <w:p w:rsidR="00C87BBF" w:rsidRDefault="00801D28" w:rsidP="00801D28">
      <w:pPr>
        <w:pStyle w:val="Paragraphedeliste"/>
        <w:spacing w:before="360" w:after="180"/>
        <w:jc w:val="both"/>
        <w:rPr>
          <w:sz w:val="24"/>
          <w:szCs w:val="24"/>
        </w:rPr>
      </w:pPr>
      <w:r>
        <w:rPr>
          <w:sz w:val="24"/>
          <w:szCs w:val="24"/>
        </w:rPr>
        <w:t xml:space="preserve">- en cofinançant la formation </w:t>
      </w:r>
      <w:r w:rsidR="00C87BBF" w:rsidRPr="00507F4B">
        <w:rPr>
          <w:sz w:val="24"/>
          <w:szCs w:val="24"/>
        </w:rPr>
        <w:t>au-delà des 3 500 €</w:t>
      </w:r>
      <w:r>
        <w:rPr>
          <w:sz w:val="24"/>
          <w:szCs w:val="24"/>
        </w:rPr>
        <w:t xml:space="preserve"> pris en charge par le ministère</w:t>
      </w:r>
      <w:r w:rsidR="00C87BBF" w:rsidRPr="00507F4B">
        <w:rPr>
          <w:sz w:val="24"/>
          <w:szCs w:val="24"/>
        </w:rPr>
        <w:t>.</w:t>
      </w:r>
    </w:p>
    <w:p w:rsidR="001D6411" w:rsidRPr="00507F4B" w:rsidRDefault="001D6411" w:rsidP="00801D28">
      <w:pPr>
        <w:pStyle w:val="Paragraphedeliste"/>
        <w:spacing w:before="360" w:after="180"/>
        <w:jc w:val="both"/>
        <w:rPr>
          <w:sz w:val="24"/>
          <w:szCs w:val="24"/>
        </w:rPr>
      </w:pPr>
    </w:p>
    <w:p w:rsidR="006A0B45" w:rsidRDefault="001D6411" w:rsidP="00C87BBF">
      <w:pPr>
        <w:spacing w:before="360" w:after="180"/>
        <w:jc w:val="both"/>
        <w:rPr>
          <w:b/>
          <w:color w:val="538135" w:themeColor="accent6" w:themeShade="BF"/>
          <w:sz w:val="24"/>
          <w:szCs w:val="24"/>
        </w:rPr>
      </w:pPr>
      <w:r>
        <w:rPr>
          <w:noProof/>
          <w:lang w:eastAsia="fr-FR"/>
        </w:rPr>
        <mc:AlternateContent>
          <mc:Choice Requires="wps">
            <w:drawing>
              <wp:anchor distT="0" distB="0" distL="114300" distR="114300" simplePos="0" relativeHeight="251661312" behindDoc="0" locked="0" layoutInCell="1" allowOverlap="1" wp14:anchorId="0631B863" wp14:editId="3C7B565A">
                <wp:simplePos x="0" y="0"/>
                <wp:positionH relativeFrom="margin">
                  <wp:align>left</wp:align>
                </wp:positionH>
                <wp:positionV relativeFrom="paragraph">
                  <wp:posOffset>125095</wp:posOffset>
                </wp:positionV>
                <wp:extent cx="6048375" cy="571500"/>
                <wp:effectExtent l="0" t="0" r="28575" b="95250"/>
                <wp:wrapNone/>
                <wp:docPr id="2" name="Rectangle 2"/>
                <wp:cNvGraphicFramePr/>
                <a:graphic xmlns:a="http://schemas.openxmlformats.org/drawingml/2006/main">
                  <a:graphicData uri="http://schemas.microsoft.com/office/word/2010/wordprocessingShape">
                    <wps:wsp>
                      <wps:cNvSpPr/>
                      <wps:spPr>
                        <a:xfrm>
                          <a:off x="0" y="0"/>
                          <a:ext cx="6048375" cy="571500"/>
                        </a:xfrm>
                        <a:prstGeom prst="wedgeRectCallout">
                          <a:avLst/>
                        </a:prstGeom>
                        <a:solidFill>
                          <a:sysClr val="window" lastClr="FFFFFF"/>
                        </a:solidFill>
                        <a:ln w="19050" cap="flat" cmpd="sng" algn="ctr">
                          <a:solidFill>
                            <a:srgbClr val="70AD47">
                              <a:lumMod val="75000"/>
                            </a:srgbClr>
                          </a:solidFill>
                          <a:prstDash val="solid"/>
                          <a:miter lim="800000"/>
                        </a:ln>
                        <a:effectLst/>
                      </wps:spPr>
                      <wps:txbx>
                        <w:txbxContent>
                          <w:p w:rsidR="001D6411" w:rsidRDefault="001D6411" w:rsidP="001D6411">
                            <w:pPr>
                              <w:rPr>
                                <w:b/>
                                <w:color w:val="538135" w:themeColor="accent6" w:themeShade="BF"/>
                                <w:sz w:val="24"/>
                                <w:szCs w:val="24"/>
                              </w:rPr>
                            </w:pPr>
                            <w:r>
                              <w:rPr>
                                <w:b/>
                                <w:color w:val="538135" w:themeColor="accent6" w:themeShade="BF"/>
                                <w:sz w:val="24"/>
                                <w:szCs w:val="24"/>
                              </w:rPr>
                              <w:t>EXEMPLE DE MOBILISATION DU COMPTE PERSONNEL DE FORMATION EN COMPLÉMENT D’UN AUTRE DISPOSITIF DE LA FPTLV...</w:t>
                            </w:r>
                          </w:p>
                          <w:p w:rsidR="001D6411" w:rsidRPr="0094359B" w:rsidRDefault="001D6411" w:rsidP="001D6411">
                            <w:pPr>
                              <w:rPr>
                                <w:b/>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1B863" id="Rectangle 2" o:spid="_x0000_s1027" type="#_x0000_t61" style="position:absolute;left:0;text-align:left;margin-left:0;margin-top:9.85pt;width:476.25pt;height: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TjoAIAAEEFAAAOAAAAZHJzL2Uyb0RvYy54bWysVEtv2zAMvg/YfxB0X+1kSdMGdYogQYYB&#10;XVu0HXpmZNkWoNckJXb260fJTvraaVgOCmlSfHz8qKvrTkmy584Lows6Ossp4ZqZUui6oD+fNl8u&#10;KPEBdAnSaF7QA/f0evH501Vr53xsGiNL7ggG0X7e2oI2Idh5lnnWcAX+zFiu0VgZpyCg6uqsdNBi&#10;dCWzcZ6fZ61xpXWGce/x67o30kWKX1Wchbuq8jwQWVCsLaTTpXMbz2xxBfPagW0EG8qAf6hCgdCY&#10;9BRqDQHIzokPoZRgznhThTNmVGaqSjCeesBuRvm7bh4bsDz1guB4e4LJ/7+w7HZ/74goCzqmRIPC&#10;ET0gaKBryck4wtNaP0evR3vvBs2jGHvtKqfiP3ZBugTp4QQp7wJh+PE8n1x8nU0pYWibzkbTPGGe&#10;vdy2zodv3CgShYK2vKx5LGEFUppdSKjC/sYHzI7Xju4xsTdSlBshZVIOfiUd2QNOGglSmpYSCT7g&#10;x4Ju0i+2gyHeXJOatEjcy3yK9GCAFKwkBBSVRVC8rikBWSO3WXCplje3vau3p6yzfLmezJKT3Kkf&#10;puyLmWHPx6YH/49lxLbW4Jv+SsrRc1OJgAsihSroBcY5RZI6Ns0TxQdw4qT62UQpdNsuDXZ0nOLW&#10;lAcctjP9FnjLNgLT3iBI9+CQ9ogArnK4w6OSBmExg0RJY9zvv32P/shGtFLS4hohZL924Dhi/10j&#10;Ty9Hk0ncu6RMprMxKu61ZfvaondqZXB+I3w0LEti9A/yKFbOqGfc+GXMiibQDHP3wxmUVejXG98M&#10;xpfL5Ia7ZiHc6EfLYvCIXAT8qXsGZwfiBaTsrTmuHMzfca73jTe1We6CqUQiZES6xxVnGhXc0zTd&#10;4U2JD8FrPXm9vHyLPwAAAP//AwBQSwMEFAAGAAgAAAAhAJrrtdTaAAAABwEAAA8AAABkcnMvZG93&#10;bnJldi54bWxMj8FOwzAMhu9IvENkJG4sZaJAS9NpmgQSJ9iAe9qYplrjVI23lbfHnNjR32/9/lyt&#10;5jCoI06pj2TgdpGBQmqj66kz8PnxfPMIKrElZ4dIaOAHE6zqy4vKli6eaIvHHXdKSiiV1oBnHkut&#10;U+sx2LSII5Jk33EKlmWcOu0me5LyMOhllt3rYHuSC96OuPHY7neHYOCNfdPxfmxdMWzvvjZpnb++&#10;vBtzfTWvn0Axzvy/DH/6og61ODXxQC6pwYA8wkKLB1CSFvkyB9UIyIToutLn/vUvAAAA//8DAFBL&#10;AQItABQABgAIAAAAIQC2gziS/gAAAOEBAAATAAAAAAAAAAAAAAAAAAAAAABbQ29udGVudF9UeXBl&#10;c10ueG1sUEsBAi0AFAAGAAgAAAAhADj9If/WAAAAlAEAAAsAAAAAAAAAAAAAAAAALwEAAF9yZWxz&#10;Ly5yZWxzUEsBAi0AFAAGAAgAAAAhALrf9OOgAgAAQQUAAA4AAAAAAAAAAAAAAAAALgIAAGRycy9l&#10;Mm9Eb2MueG1sUEsBAi0AFAAGAAgAAAAhAJrrtdTaAAAABwEAAA8AAAAAAAAAAAAAAAAA+gQAAGRy&#10;cy9kb3ducmV2LnhtbFBLBQYAAAAABAAEAPMAAAABBgAAAAA=&#10;" adj="6300,24300" fillcolor="window" strokecolor="#548235" strokeweight="1.5pt">
                <v:textbox>
                  <w:txbxContent>
                    <w:p w:rsidR="001D6411" w:rsidRDefault="001D6411" w:rsidP="001D6411">
                      <w:pPr>
                        <w:rPr>
                          <w:b/>
                          <w:color w:val="538135" w:themeColor="accent6" w:themeShade="BF"/>
                          <w:sz w:val="24"/>
                          <w:szCs w:val="24"/>
                        </w:rPr>
                      </w:pPr>
                      <w:r>
                        <w:rPr>
                          <w:b/>
                          <w:color w:val="538135" w:themeColor="accent6" w:themeShade="BF"/>
                          <w:sz w:val="24"/>
                          <w:szCs w:val="24"/>
                        </w:rPr>
                        <w:t>EXEMPLE DE MOBILISATION DU COMPTE PERSONNEL DE FORMATION EN COMPLÉMENT D’UN AUTRE DISPOSITIF DE LA FPTLV...</w:t>
                      </w:r>
                    </w:p>
                    <w:p w:rsidR="001D6411" w:rsidRPr="0094359B" w:rsidRDefault="001D6411" w:rsidP="001D6411">
                      <w:pPr>
                        <w:rPr>
                          <w:b/>
                          <w:color w:val="538135" w:themeColor="accent6" w:themeShade="BF"/>
                          <w:sz w:val="24"/>
                          <w:szCs w:val="24"/>
                        </w:rPr>
                      </w:pPr>
                    </w:p>
                  </w:txbxContent>
                </v:textbox>
                <w10:wrap anchorx="margin"/>
              </v:shape>
            </w:pict>
          </mc:Fallback>
        </mc:AlternateContent>
      </w:r>
    </w:p>
    <w:p w:rsidR="006A0B45" w:rsidRDefault="006A0B45" w:rsidP="00C87BBF">
      <w:pPr>
        <w:spacing w:before="360" w:after="180"/>
        <w:jc w:val="both"/>
        <w:rPr>
          <w:b/>
          <w:color w:val="538135" w:themeColor="accent6" w:themeShade="BF"/>
          <w:sz w:val="24"/>
          <w:szCs w:val="24"/>
        </w:rPr>
      </w:pPr>
    </w:p>
    <w:p w:rsidR="00C87BBF" w:rsidRPr="001D6411" w:rsidRDefault="001D6411" w:rsidP="00C87BBF">
      <w:pPr>
        <w:spacing w:before="360" w:after="180"/>
        <w:jc w:val="both"/>
        <w:rPr>
          <w:b/>
          <w:color w:val="538135" w:themeColor="accent6" w:themeShade="BF"/>
          <w:sz w:val="24"/>
          <w:szCs w:val="24"/>
          <w:u w:val="single"/>
        </w:rPr>
      </w:pPr>
      <w:r w:rsidRPr="001D6411">
        <w:rPr>
          <w:b/>
          <w:color w:val="538135" w:themeColor="accent6" w:themeShade="BF"/>
          <w:sz w:val="24"/>
          <w:szCs w:val="24"/>
          <w:u w:val="single"/>
        </w:rPr>
        <w:t>CPF + P</w:t>
      </w:r>
      <w:r w:rsidR="00035ABA">
        <w:rPr>
          <w:b/>
          <w:color w:val="538135" w:themeColor="accent6" w:themeShade="BF"/>
          <w:sz w:val="24"/>
          <w:szCs w:val="24"/>
          <w:u w:val="single"/>
        </w:rPr>
        <w:t>réparation aux concours et examens professionnels (P</w:t>
      </w:r>
      <w:r w:rsidRPr="001D6411">
        <w:rPr>
          <w:b/>
          <w:color w:val="538135" w:themeColor="accent6" w:themeShade="BF"/>
          <w:sz w:val="24"/>
          <w:szCs w:val="24"/>
          <w:u w:val="single"/>
        </w:rPr>
        <w:t>EC</w:t>
      </w:r>
      <w:r w:rsidR="00035ABA">
        <w:rPr>
          <w:b/>
          <w:color w:val="538135" w:themeColor="accent6" w:themeShade="BF"/>
          <w:sz w:val="24"/>
          <w:szCs w:val="24"/>
          <w:u w:val="single"/>
        </w:rPr>
        <w:t>)</w:t>
      </w:r>
      <w:r w:rsidRPr="001D6411">
        <w:rPr>
          <w:b/>
          <w:color w:val="538135" w:themeColor="accent6" w:themeShade="BF"/>
          <w:sz w:val="24"/>
          <w:szCs w:val="24"/>
          <w:u w:val="single"/>
        </w:rPr>
        <w:t> </w:t>
      </w:r>
      <w:r w:rsidR="00C87BBF" w:rsidRPr="001D6411">
        <w:rPr>
          <w:b/>
          <w:color w:val="538135" w:themeColor="accent6" w:themeShade="BF"/>
          <w:sz w:val="24"/>
          <w:szCs w:val="24"/>
          <w:u w:val="single"/>
        </w:rPr>
        <w:t xml:space="preserve"> </w:t>
      </w:r>
    </w:p>
    <w:p w:rsidR="001D6411" w:rsidRDefault="001D6411" w:rsidP="001D6411">
      <w:pPr>
        <w:spacing w:after="0"/>
        <w:jc w:val="both"/>
        <w:rPr>
          <w:sz w:val="24"/>
          <w:szCs w:val="24"/>
        </w:rPr>
      </w:pPr>
      <w:r>
        <w:rPr>
          <w:sz w:val="24"/>
          <w:szCs w:val="24"/>
        </w:rPr>
        <w:t>Un secrétaire administratif</w:t>
      </w:r>
      <w:r w:rsidR="00C87BBF" w:rsidRPr="00E95477">
        <w:rPr>
          <w:sz w:val="24"/>
          <w:szCs w:val="24"/>
        </w:rPr>
        <w:t xml:space="preserve"> souhaite passer le concours des IRA pour devenir attaché d’administration. </w:t>
      </w:r>
      <w:r>
        <w:rPr>
          <w:sz w:val="24"/>
          <w:szCs w:val="24"/>
        </w:rPr>
        <w:t xml:space="preserve">Avant de rejoindre la fonction publique d’Etat, cet agent a travaillé plusieurs années dans le secteur privé où il a acquis 2 885 € sur son compteur CPF. En qualité d’agent public, il a acquis 94 heures de droits CPF. </w:t>
      </w:r>
    </w:p>
    <w:p w:rsidR="001D6411" w:rsidRDefault="00C87BBF" w:rsidP="001D6411">
      <w:pPr>
        <w:spacing w:after="0"/>
        <w:jc w:val="both"/>
        <w:rPr>
          <w:sz w:val="24"/>
          <w:szCs w:val="24"/>
        </w:rPr>
      </w:pPr>
      <w:r w:rsidRPr="00E95477">
        <w:rPr>
          <w:sz w:val="24"/>
          <w:szCs w:val="24"/>
        </w:rPr>
        <w:t xml:space="preserve">Il a choisi de suivre </w:t>
      </w:r>
      <w:r w:rsidR="001D6411">
        <w:rPr>
          <w:sz w:val="24"/>
          <w:szCs w:val="24"/>
        </w:rPr>
        <w:t>la</w:t>
      </w:r>
      <w:r w:rsidRPr="00E95477">
        <w:rPr>
          <w:sz w:val="24"/>
          <w:szCs w:val="24"/>
        </w:rPr>
        <w:t xml:space="preserve"> formation « préparation du concours des IRA » d’une durée de 18</w:t>
      </w:r>
      <w:r w:rsidR="001D6411">
        <w:rPr>
          <w:sz w:val="24"/>
          <w:szCs w:val="24"/>
        </w:rPr>
        <w:t>0 heures</w:t>
      </w:r>
      <w:r w:rsidRPr="00E95477">
        <w:rPr>
          <w:sz w:val="24"/>
          <w:szCs w:val="24"/>
        </w:rPr>
        <w:t xml:space="preserve"> avec le CNED</w:t>
      </w:r>
      <w:r w:rsidR="001D6411">
        <w:rPr>
          <w:sz w:val="24"/>
          <w:szCs w:val="24"/>
        </w:rPr>
        <w:t xml:space="preserve"> d’un coût de 880 €. </w:t>
      </w:r>
    </w:p>
    <w:p w:rsidR="001D6411" w:rsidRDefault="001D6411" w:rsidP="001D6411">
      <w:pPr>
        <w:spacing w:after="0"/>
        <w:jc w:val="both"/>
        <w:rPr>
          <w:sz w:val="24"/>
          <w:szCs w:val="24"/>
        </w:rPr>
      </w:pPr>
      <w:r w:rsidRPr="00507F4B">
        <w:rPr>
          <w:sz w:val="24"/>
          <w:szCs w:val="24"/>
        </w:rPr>
        <w:t xml:space="preserve">Le ministère </w:t>
      </w:r>
      <w:r>
        <w:rPr>
          <w:sz w:val="24"/>
          <w:szCs w:val="24"/>
        </w:rPr>
        <w:t>l’autorise à</w:t>
      </w:r>
      <w:r w:rsidRPr="00507F4B">
        <w:rPr>
          <w:sz w:val="24"/>
          <w:szCs w:val="24"/>
        </w:rPr>
        <w:t xml:space="preserve"> </w:t>
      </w:r>
      <w:r>
        <w:rPr>
          <w:sz w:val="24"/>
          <w:szCs w:val="24"/>
        </w:rPr>
        <w:t>utiliser</w:t>
      </w:r>
      <w:r w:rsidRPr="00507F4B">
        <w:rPr>
          <w:sz w:val="24"/>
          <w:szCs w:val="24"/>
        </w:rPr>
        <w:t xml:space="preserve"> son CPF</w:t>
      </w:r>
      <w:r>
        <w:rPr>
          <w:sz w:val="24"/>
          <w:szCs w:val="24"/>
        </w:rPr>
        <w:t xml:space="preserve"> et finance l’intégralité de l’action de formation. </w:t>
      </w:r>
    </w:p>
    <w:p w:rsidR="006016A6" w:rsidRDefault="006016A6" w:rsidP="001D6411">
      <w:pPr>
        <w:spacing w:after="0"/>
        <w:jc w:val="both"/>
        <w:rPr>
          <w:sz w:val="24"/>
          <w:szCs w:val="24"/>
        </w:rPr>
      </w:pPr>
    </w:p>
    <w:p w:rsidR="001D6411" w:rsidRDefault="001D6411" w:rsidP="001D6411">
      <w:pPr>
        <w:spacing w:after="0"/>
        <w:jc w:val="both"/>
        <w:rPr>
          <w:sz w:val="24"/>
          <w:szCs w:val="24"/>
        </w:rPr>
      </w:pPr>
      <w:r>
        <w:rPr>
          <w:sz w:val="24"/>
          <w:szCs w:val="24"/>
        </w:rPr>
        <w:t xml:space="preserve">Pour suivre cette formation, l’agent mobilise : </w:t>
      </w:r>
    </w:p>
    <w:p w:rsidR="001D6411" w:rsidRDefault="001D6411" w:rsidP="001D6411">
      <w:pPr>
        <w:pStyle w:val="Paragraphedeliste"/>
        <w:numPr>
          <w:ilvl w:val="0"/>
          <w:numId w:val="5"/>
        </w:numPr>
        <w:spacing w:after="0"/>
        <w:jc w:val="both"/>
        <w:rPr>
          <w:sz w:val="24"/>
          <w:szCs w:val="24"/>
        </w:rPr>
      </w:pPr>
      <w:r>
        <w:rPr>
          <w:sz w:val="24"/>
          <w:szCs w:val="24"/>
        </w:rPr>
        <w:t>5 jours de formation au titre de la PEC (équivalent à 30 heures de formation) ;</w:t>
      </w:r>
    </w:p>
    <w:p w:rsidR="008E004E" w:rsidRDefault="008E004E" w:rsidP="008E004E">
      <w:pPr>
        <w:pStyle w:val="Paragraphedeliste"/>
        <w:numPr>
          <w:ilvl w:val="1"/>
          <w:numId w:val="5"/>
        </w:numPr>
        <w:spacing w:after="0"/>
        <w:jc w:val="both"/>
        <w:rPr>
          <w:sz w:val="24"/>
          <w:szCs w:val="24"/>
        </w:rPr>
      </w:pPr>
      <w:r>
        <w:rPr>
          <w:sz w:val="24"/>
          <w:szCs w:val="24"/>
        </w:rPr>
        <w:t>180</w:t>
      </w:r>
      <w:r w:rsidR="00774E3D">
        <w:rPr>
          <w:sz w:val="24"/>
          <w:szCs w:val="24"/>
        </w:rPr>
        <w:t xml:space="preserve"> </w:t>
      </w:r>
      <w:r>
        <w:rPr>
          <w:sz w:val="24"/>
          <w:szCs w:val="24"/>
        </w:rPr>
        <w:t>h</w:t>
      </w:r>
      <w:r w:rsidR="00774E3D">
        <w:rPr>
          <w:sz w:val="24"/>
          <w:szCs w:val="24"/>
        </w:rPr>
        <w:t>eures</w:t>
      </w:r>
      <w:r>
        <w:rPr>
          <w:sz w:val="24"/>
          <w:szCs w:val="24"/>
        </w:rPr>
        <w:t xml:space="preserve"> de formation -</w:t>
      </w:r>
      <w:r w:rsidR="009E0122">
        <w:rPr>
          <w:sz w:val="24"/>
          <w:szCs w:val="24"/>
        </w:rPr>
        <w:t xml:space="preserve"> </w:t>
      </w:r>
      <w:r>
        <w:rPr>
          <w:sz w:val="24"/>
          <w:szCs w:val="24"/>
        </w:rPr>
        <w:t xml:space="preserve">30 heures </w:t>
      </w:r>
      <w:r w:rsidR="00774E3D">
        <w:rPr>
          <w:sz w:val="24"/>
          <w:szCs w:val="24"/>
        </w:rPr>
        <w:t>PEC</w:t>
      </w:r>
      <w:r>
        <w:rPr>
          <w:sz w:val="24"/>
          <w:szCs w:val="24"/>
        </w:rPr>
        <w:t xml:space="preserve"> = 150 heures</w:t>
      </w:r>
      <w:r w:rsidR="009E0122">
        <w:rPr>
          <w:sz w:val="24"/>
          <w:szCs w:val="24"/>
        </w:rPr>
        <w:t xml:space="preserve"> &gt;</w:t>
      </w:r>
      <w:r>
        <w:rPr>
          <w:sz w:val="24"/>
          <w:szCs w:val="24"/>
        </w:rPr>
        <w:t xml:space="preserve"> Il lui reste donc 150 heures de formation à mobiliser au titre de son CPF</w:t>
      </w:r>
    </w:p>
    <w:p w:rsidR="008E004E" w:rsidRDefault="002C077E" w:rsidP="001D6411">
      <w:pPr>
        <w:pStyle w:val="Paragraphedeliste"/>
        <w:numPr>
          <w:ilvl w:val="0"/>
          <w:numId w:val="5"/>
        </w:numPr>
        <w:spacing w:after="0"/>
        <w:jc w:val="both"/>
        <w:rPr>
          <w:sz w:val="24"/>
          <w:szCs w:val="24"/>
        </w:rPr>
      </w:pPr>
      <w:r>
        <w:rPr>
          <w:sz w:val="24"/>
          <w:szCs w:val="24"/>
        </w:rPr>
        <w:t>150 heures au titre</w:t>
      </w:r>
      <w:r w:rsidR="008E004E">
        <w:rPr>
          <w:sz w:val="24"/>
          <w:szCs w:val="24"/>
        </w:rPr>
        <w:t xml:space="preserve"> du CPF </w:t>
      </w:r>
      <w:r>
        <w:rPr>
          <w:sz w:val="24"/>
          <w:szCs w:val="24"/>
        </w:rPr>
        <w:t>selon les modalités suivantes :</w:t>
      </w:r>
    </w:p>
    <w:p w:rsidR="001D6411" w:rsidRDefault="001D6411" w:rsidP="008E004E">
      <w:pPr>
        <w:pStyle w:val="Paragraphedeliste"/>
        <w:numPr>
          <w:ilvl w:val="1"/>
          <w:numId w:val="5"/>
        </w:numPr>
        <w:spacing w:after="0"/>
        <w:jc w:val="both"/>
        <w:rPr>
          <w:sz w:val="24"/>
          <w:szCs w:val="24"/>
        </w:rPr>
      </w:pPr>
      <w:r>
        <w:rPr>
          <w:sz w:val="24"/>
          <w:szCs w:val="24"/>
        </w:rPr>
        <w:t>94 heures de formation au titre des droits CPF acquis dans la fonction publique ;</w:t>
      </w:r>
    </w:p>
    <w:p w:rsidR="00FF4EDD" w:rsidRDefault="008E004E" w:rsidP="008E004E">
      <w:pPr>
        <w:pStyle w:val="Paragraphedeliste"/>
        <w:numPr>
          <w:ilvl w:val="1"/>
          <w:numId w:val="5"/>
        </w:numPr>
        <w:spacing w:after="0"/>
        <w:jc w:val="both"/>
        <w:rPr>
          <w:sz w:val="24"/>
          <w:szCs w:val="24"/>
        </w:rPr>
      </w:pPr>
      <w:r>
        <w:rPr>
          <w:sz w:val="24"/>
          <w:szCs w:val="24"/>
        </w:rPr>
        <w:t xml:space="preserve">56 heures </w:t>
      </w:r>
      <w:r w:rsidR="002C077E">
        <w:rPr>
          <w:sz w:val="24"/>
          <w:szCs w:val="24"/>
        </w:rPr>
        <w:t xml:space="preserve">converties </w:t>
      </w:r>
      <w:r>
        <w:rPr>
          <w:sz w:val="24"/>
          <w:szCs w:val="24"/>
        </w:rPr>
        <w:t xml:space="preserve">(150 heures – 94 heures = 56 heures). </w:t>
      </w:r>
    </w:p>
    <w:p w:rsidR="00FF4EDD" w:rsidRDefault="008E004E" w:rsidP="00FF4EDD">
      <w:pPr>
        <w:pStyle w:val="Paragraphedeliste"/>
        <w:spacing w:after="0"/>
        <w:ind w:left="1440"/>
        <w:jc w:val="both"/>
        <w:rPr>
          <w:b/>
          <w:color w:val="538135" w:themeColor="accent6" w:themeShade="BF"/>
          <w:sz w:val="24"/>
          <w:szCs w:val="24"/>
        </w:rPr>
      </w:pPr>
      <w:r>
        <w:rPr>
          <w:sz w:val="24"/>
          <w:szCs w:val="24"/>
        </w:rPr>
        <w:t xml:space="preserve">Selon la clé de répartition de conversion entre les droits euros et les droits heures </w:t>
      </w:r>
      <w:r w:rsidRPr="00FF4EDD">
        <w:rPr>
          <w:b/>
          <w:color w:val="538135" w:themeColor="accent6" w:themeShade="BF"/>
          <w:sz w:val="24"/>
          <w:szCs w:val="24"/>
        </w:rPr>
        <w:t>1h = 15 €</w:t>
      </w:r>
      <w:r w:rsidR="00FF4EDD">
        <w:rPr>
          <w:b/>
          <w:color w:val="538135" w:themeColor="accent6" w:themeShade="BF"/>
          <w:sz w:val="24"/>
          <w:szCs w:val="24"/>
        </w:rPr>
        <w:t xml:space="preserve"> </w:t>
      </w:r>
      <w:r w:rsidR="00FF4EDD" w:rsidRPr="009E0122">
        <w:rPr>
          <w:sz w:val="24"/>
          <w:szCs w:val="24"/>
        </w:rPr>
        <w:t>&gt;</w:t>
      </w:r>
      <w:r w:rsidR="00FF4EDD">
        <w:rPr>
          <w:b/>
          <w:color w:val="538135" w:themeColor="accent6" w:themeShade="BF"/>
          <w:sz w:val="24"/>
          <w:szCs w:val="24"/>
        </w:rPr>
        <w:t xml:space="preserve"> </w:t>
      </w:r>
      <w:r w:rsidR="00FF4EDD">
        <w:rPr>
          <w:sz w:val="24"/>
          <w:szCs w:val="24"/>
        </w:rPr>
        <w:t>56 heures x 15 € = </w:t>
      </w:r>
      <w:r w:rsidR="009E0122">
        <w:rPr>
          <w:sz w:val="24"/>
          <w:szCs w:val="24"/>
        </w:rPr>
        <w:t>840 €</w:t>
      </w:r>
    </w:p>
    <w:p w:rsidR="00C87BBF" w:rsidRPr="00E95477" w:rsidRDefault="008E004E" w:rsidP="006760B1">
      <w:pPr>
        <w:pStyle w:val="Paragraphedeliste"/>
        <w:spacing w:after="0"/>
        <w:ind w:left="1440"/>
        <w:jc w:val="both"/>
        <w:rPr>
          <w:sz w:val="24"/>
          <w:szCs w:val="24"/>
        </w:rPr>
      </w:pPr>
      <w:r>
        <w:rPr>
          <w:sz w:val="24"/>
          <w:szCs w:val="24"/>
        </w:rPr>
        <w:t xml:space="preserve">840 € </w:t>
      </w:r>
      <w:r w:rsidR="009E0122">
        <w:rPr>
          <w:sz w:val="24"/>
          <w:szCs w:val="24"/>
        </w:rPr>
        <w:t>de s</w:t>
      </w:r>
      <w:r w:rsidR="00FF4EDD">
        <w:rPr>
          <w:sz w:val="24"/>
          <w:szCs w:val="24"/>
        </w:rPr>
        <w:t xml:space="preserve">es droits acquis dans le secteur privé </w:t>
      </w:r>
      <w:r>
        <w:rPr>
          <w:sz w:val="24"/>
          <w:szCs w:val="24"/>
        </w:rPr>
        <w:t xml:space="preserve">seront convertis en 56 heures </w:t>
      </w:r>
      <w:r w:rsidR="009E0122">
        <w:rPr>
          <w:sz w:val="24"/>
          <w:szCs w:val="24"/>
        </w:rPr>
        <w:t xml:space="preserve">CPF dans le secteur public, </w:t>
      </w:r>
      <w:r>
        <w:rPr>
          <w:sz w:val="24"/>
          <w:szCs w:val="24"/>
        </w:rPr>
        <w:t xml:space="preserve">permettant à l’agent de suivre </w:t>
      </w:r>
      <w:r w:rsidR="009E0122">
        <w:rPr>
          <w:sz w:val="24"/>
          <w:szCs w:val="24"/>
        </w:rPr>
        <w:t xml:space="preserve">les </w:t>
      </w:r>
      <w:r>
        <w:rPr>
          <w:sz w:val="24"/>
          <w:szCs w:val="24"/>
        </w:rPr>
        <w:t xml:space="preserve">150 heures de la formation au titre des droits CPF. </w:t>
      </w:r>
    </w:p>
    <w:sectPr w:rsidR="00C87BBF" w:rsidRPr="00E9547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BF" w:rsidRDefault="00C87BBF" w:rsidP="00C87BBF">
      <w:pPr>
        <w:spacing w:after="0" w:line="240" w:lineRule="auto"/>
      </w:pPr>
      <w:r>
        <w:separator/>
      </w:r>
    </w:p>
  </w:endnote>
  <w:endnote w:type="continuationSeparator" w:id="0">
    <w:p w:rsidR="00C87BBF" w:rsidRDefault="00C87BBF" w:rsidP="00C8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1D" w:rsidRDefault="000238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34481"/>
      <w:docPartObj>
        <w:docPartGallery w:val="Page Numbers (Bottom of Page)"/>
        <w:docPartUnique/>
      </w:docPartObj>
    </w:sdtPr>
    <w:sdtEndPr/>
    <w:sdtContent>
      <w:sdt>
        <w:sdtPr>
          <w:id w:val="-1769616900"/>
          <w:docPartObj>
            <w:docPartGallery w:val="Page Numbers (Top of Page)"/>
            <w:docPartUnique/>
          </w:docPartObj>
        </w:sdtPr>
        <w:sdtEndPr/>
        <w:sdtContent>
          <w:p w:rsidR="000F0B66" w:rsidRDefault="000F0B6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A42AAF">
              <w:rPr>
                <w:b/>
                <w:bCs/>
                <w:noProof/>
              </w:rPr>
              <w:t>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42AAF">
              <w:rPr>
                <w:b/>
                <w:bCs/>
                <w:noProof/>
              </w:rPr>
              <w:t>5</w:t>
            </w:r>
            <w:r>
              <w:rPr>
                <w:b/>
                <w:bCs/>
                <w:sz w:val="24"/>
                <w:szCs w:val="24"/>
              </w:rPr>
              <w:fldChar w:fldCharType="end"/>
            </w:r>
          </w:p>
        </w:sdtContent>
      </w:sdt>
    </w:sdtContent>
  </w:sdt>
  <w:p w:rsidR="000F0B66" w:rsidRDefault="000F0B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1D" w:rsidRDefault="000238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BF" w:rsidRDefault="00C87BBF" w:rsidP="00C87BBF">
      <w:pPr>
        <w:spacing w:after="0" w:line="240" w:lineRule="auto"/>
      </w:pPr>
      <w:r>
        <w:separator/>
      </w:r>
    </w:p>
  </w:footnote>
  <w:footnote w:type="continuationSeparator" w:id="0">
    <w:p w:rsidR="00C87BBF" w:rsidRDefault="00C87BBF" w:rsidP="00C87BBF">
      <w:pPr>
        <w:spacing w:after="0" w:line="240" w:lineRule="auto"/>
      </w:pPr>
      <w:r>
        <w:continuationSeparator/>
      </w:r>
    </w:p>
  </w:footnote>
  <w:footnote w:id="1">
    <w:p w:rsidR="000325A5" w:rsidRDefault="000325A5">
      <w:pPr>
        <w:pStyle w:val="Notedebasdepage"/>
      </w:pPr>
      <w:r>
        <w:rPr>
          <w:rStyle w:val="Appelnotedebasdep"/>
        </w:rPr>
        <w:footnoteRef/>
      </w:r>
      <w:r>
        <w:t xml:space="preserve"> </w:t>
      </w:r>
      <w:hyperlink r:id="rId1" w:history="1">
        <w:r w:rsidRPr="004C79AA">
          <w:rPr>
            <w:rStyle w:val="Lienhypertexte"/>
          </w:rPr>
          <w:t>https://formco.agriculture.gouv.fr/accueil-et-actualite</w:t>
        </w:r>
      </w:hyperlink>
    </w:p>
  </w:footnote>
  <w:footnote w:id="2">
    <w:p w:rsidR="00C87BBF" w:rsidRDefault="00C87BBF" w:rsidP="00C87BBF">
      <w:pPr>
        <w:pStyle w:val="Notedebasdepage"/>
      </w:pPr>
      <w:r>
        <w:rPr>
          <w:rStyle w:val="Appelnotedebasdep"/>
        </w:rPr>
        <w:footnoteRef/>
      </w:r>
      <w:r>
        <w:t xml:space="preserve"> </w:t>
      </w:r>
      <w:hyperlink r:id="rId2" w:history="1">
        <w:r w:rsidRPr="004C79AA">
          <w:rPr>
            <w:rStyle w:val="Lienhypertexte"/>
          </w:rPr>
          <w:t>https://formco.agriculture.gouv.fr/accueil-et-actualite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1D" w:rsidRDefault="000238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1D" w:rsidRDefault="0002381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1D" w:rsidRDefault="000238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2A3"/>
    <w:multiLevelType w:val="hybridMultilevel"/>
    <w:tmpl w:val="CC74F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163EEA"/>
    <w:multiLevelType w:val="hybridMultilevel"/>
    <w:tmpl w:val="0A141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3A22EF"/>
    <w:multiLevelType w:val="hybridMultilevel"/>
    <w:tmpl w:val="DDFEF9F6"/>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026CEF"/>
    <w:multiLevelType w:val="hybridMultilevel"/>
    <w:tmpl w:val="A1CA5DC0"/>
    <w:lvl w:ilvl="0" w:tplc="9A10E0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4B36FF"/>
    <w:multiLevelType w:val="hybridMultilevel"/>
    <w:tmpl w:val="0B341BAC"/>
    <w:lvl w:ilvl="0" w:tplc="9A10E0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BF"/>
    <w:rsid w:val="0002381D"/>
    <w:rsid w:val="000325A5"/>
    <w:rsid w:val="00035ABA"/>
    <w:rsid w:val="000F0B66"/>
    <w:rsid w:val="00176722"/>
    <w:rsid w:val="001D6411"/>
    <w:rsid w:val="00295DFD"/>
    <w:rsid w:val="002C077E"/>
    <w:rsid w:val="002E17A6"/>
    <w:rsid w:val="00500A5A"/>
    <w:rsid w:val="00507F4B"/>
    <w:rsid w:val="005D6841"/>
    <w:rsid w:val="006016A6"/>
    <w:rsid w:val="0064538B"/>
    <w:rsid w:val="006760B1"/>
    <w:rsid w:val="006A0B45"/>
    <w:rsid w:val="006E36AD"/>
    <w:rsid w:val="00774E3D"/>
    <w:rsid w:val="007A6529"/>
    <w:rsid w:val="00801D28"/>
    <w:rsid w:val="0084332A"/>
    <w:rsid w:val="008E004E"/>
    <w:rsid w:val="00945DE8"/>
    <w:rsid w:val="009558B7"/>
    <w:rsid w:val="009709F6"/>
    <w:rsid w:val="009C761F"/>
    <w:rsid w:val="009D0FE1"/>
    <w:rsid w:val="009E0122"/>
    <w:rsid w:val="00A01D1E"/>
    <w:rsid w:val="00A42AAF"/>
    <w:rsid w:val="00A5529B"/>
    <w:rsid w:val="00A56313"/>
    <w:rsid w:val="00A67AFB"/>
    <w:rsid w:val="00A953B0"/>
    <w:rsid w:val="00B053D0"/>
    <w:rsid w:val="00C24D6C"/>
    <w:rsid w:val="00C80F90"/>
    <w:rsid w:val="00C87312"/>
    <w:rsid w:val="00C87BBF"/>
    <w:rsid w:val="00D16347"/>
    <w:rsid w:val="00E978A6"/>
    <w:rsid w:val="00FA1A2A"/>
    <w:rsid w:val="00FC74C7"/>
    <w:rsid w:val="00FF4E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5AF4F65-675E-4760-BFB5-D405EACF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B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7BBF"/>
    <w:pPr>
      <w:ind w:left="720"/>
      <w:contextualSpacing/>
    </w:pPr>
  </w:style>
  <w:style w:type="paragraph" w:styleId="Notedebasdepage">
    <w:name w:val="footnote text"/>
    <w:basedOn w:val="Normal"/>
    <w:link w:val="NotedebasdepageCar"/>
    <w:uiPriority w:val="99"/>
    <w:semiHidden/>
    <w:unhideWhenUsed/>
    <w:rsid w:val="00C87B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7BBF"/>
    <w:rPr>
      <w:sz w:val="20"/>
      <w:szCs w:val="20"/>
    </w:rPr>
  </w:style>
  <w:style w:type="character" w:styleId="Appelnotedebasdep">
    <w:name w:val="footnote reference"/>
    <w:basedOn w:val="Policepardfaut"/>
    <w:uiPriority w:val="99"/>
    <w:semiHidden/>
    <w:unhideWhenUsed/>
    <w:rsid w:val="00C87BBF"/>
    <w:rPr>
      <w:vertAlign w:val="superscript"/>
    </w:rPr>
  </w:style>
  <w:style w:type="table" w:styleId="Grilledutableau">
    <w:name w:val="Table Grid"/>
    <w:basedOn w:val="TableauNormal"/>
    <w:uiPriority w:val="39"/>
    <w:rsid w:val="00C87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87BBF"/>
    <w:rPr>
      <w:color w:val="0563C1" w:themeColor="hyperlink"/>
      <w:u w:val="single"/>
    </w:rPr>
  </w:style>
  <w:style w:type="character" w:styleId="lev">
    <w:name w:val="Strong"/>
    <w:basedOn w:val="Policepardfaut"/>
    <w:uiPriority w:val="22"/>
    <w:qFormat/>
    <w:rsid w:val="00C87BBF"/>
    <w:rPr>
      <w:b/>
      <w:bCs/>
    </w:rPr>
  </w:style>
  <w:style w:type="paragraph" w:styleId="En-tte">
    <w:name w:val="header"/>
    <w:basedOn w:val="Normal"/>
    <w:link w:val="En-tteCar"/>
    <w:uiPriority w:val="99"/>
    <w:unhideWhenUsed/>
    <w:rsid w:val="000F0B66"/>
    <w:pPr>
      <w:tabs>
        <w:tab w:val="center" w:pos="4536"/>
        <w:tab w:val="right" w:pos="9072"/>
      </w:tabs>
      <w:spacing w:after="0" w:line="240" w:lineRule="auto"/>
    </w:pPr>
  </w:style>
  <w:style w:type="character" w:customStyle="1" w:styleId="En-tteCar">
    <w:name w:val="En-tête Car"/>
    <w:basedOn w:val="Policepardfaut"/>
    <w:link w:val="En-tte"/>
    <w:uiPriority w:val="99"/>
    <w:rsid w:val="000F0B66"/>
  </w:style>
  <w:style w:type="paragraph" w:styleId="Pieddepage">
    <w:name w:val="footer"/>
    <w:basedOn w:val="Normal"/>
    <w:link w:val="PieddepageCar"/>
    <w:uiPriority w:val="99"/>
    <w:unhideWhenUsed/>
    <w:rsid w:val="000F0B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0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08488">
      <w:bodyDiv w:val="1"/>
      <w:marLeft w:val="0"/>
      <w:marRight w:val="0"/>
      <w:marTop w:val="0"/>
      <w:marBottom w:val="0"/>
      <w:divBdr>
        <w:top w:val="none" w:sz="0" w:space="0" w:color="auto"/>
        <w:left w:val="none" w:sz="0" w:space="0" w:color="auto"/>
        <w:bottom w:val="none" w:sz="0" w:space="0" w:color="auto"/>
        <w:right w:val="none" w:sz="0" w:space="0" w:color="auto"/>
      </w:divBdr>
      <w:divsChild>
        <w:div w:id="1731344627">
          <w:marLeft w:val="0"/>
          <w:marRight w:val="0"/>
          <w:marTop w:val="0"/>
          <w:marBottom w:val="0"/>
          <w:divBdr>
            <w:top w:val="none" w:sz="0" w:space="0" w:color="auto"/>
            <w:left w:val="none" w:sz="0" w:space="0" w:color="auto"/>
            <w:bottom w:val="none" w:sz="0" w:space="0" w:color="auto"/>
            <w:right w:val="none" w:sz="0" w:space="0" w:color="auto"/>
          </w:divBdr>
          <w:divsChild>
            <w:div w:id="2563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compteformation.gouv.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nfo.agriculture.gouv.fr/gedei/site/bo-agri/instruction-2018-45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formco.agriculture.gouv.fr/accueil-et-actualite" TargetMode="External"/><Relationship Id="rId1" Type="http://schemas.openxmlformats.org/officeDocument/2006/relationships/hyperlink" Target="https://formco.agriculture.gouv.fr/accueil-et-actua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6DF6A-12E1-4878-8488-647F0E84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1580</Words>
  <Characters>8695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PINATEL IGOA</dc:creator>
  <cp:keywords/>
  <dc:description/>
  <cp:lastModifiedBy>Josephine REGNE</cp:lastModifiedBy>
  <cp:revision>9</cp:revision>
  <dcterms:created xsi:type="dcterms:W3CDTF">2022-11-09T13:10:00Z</dcterms:created>
  <dcterms:modified xsi:type="dcterms:W3CDTF">2023-08-29T15:31:00Z</dcterms:modified>
</cp:coreProperties>
</file>