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91D0" w14:textId="383280AF" w:rsidR="00B2553B" w:rsidRPr="003A4D35" w:rsidRDefault="00B2553B" w:rsidP="003A4D35">
      <w:pPr>
        <w:spacing w:before="120" w:after="240"/>
        <w:jc w:val="right"/>
        <w:rPr>
          <w:b/>
          <w:color w:val="538135" w:themeColor="accent6" w:themeShade="BF"/>
          <w:sz w:val="28"/>
          <w:szCs w:val="28"/>
        </w:rPr>
      </w:pPr>
      <w:r w:rsidRPr="003A4D35">
        <w:rPr>
          <w:b/>
          <w:color w:val="538135" w:themeColor="accent6" w:themeShade="BF"/>
          <w:sz w:val="28"/>
          <w:szCs w:val="28"/>
        </w:rPr>
        <w:t>Fiche n°</w:t>
      </w:r>
      <w:r w:rsidR="003A5ED6">
        <w:rPr>
          <w:b/>
          <w:color w:val="538135" w:themeColor="accent6" w:themeShade="BF"/>
          <w:sz w:val="28"/>
          <w:szCs w:val="28"/>
        </w:rPr>
        <w:t>10</w:t>
      </w:r>
    </w:p>
    <w:tbl>
      <w:tblPr>
        <w:tblStyle w:val="Grilledutableau"/>
        <w:tblW w:w="0" w:type="auto"/>
        <w:tblBorders>
          <w:top w:val="double" w:sz="12" w:space="0" w:color="70AD47" w:themeColor="accent6"/>
          <w:left w:val="double" w:sz="12" w:space="0" w:color="70AD47" w:themeColor="accent6"/>
          <w:bottom w:val="double" w:sz="12" w:space="0" w:color="70AD47" w:themeColor="accent6"/>
          <w:right w:val="doub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A4D35" w14:paraId="70B51327" w14:textId="77777777" w:rsidTr="003D589E">
        <w:tc>
          <w:tcPr>
            <w:tcW w:w="8982" w:type="dxa"/>
          </w:tcPr>
          <w:p w14:paraId="1E71040C" w14:textId="4253345A" w:rsidR="003A4D35" w:rsidRDefault="003A5ED6" w:rsidP="003A5ED6">
            <w:pPr>
              <w:spacing w:before="240" w:after="240"/>
              <w:jc w:val="center"/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L’accès prioritaire aux actions de formation (APAF)</w:t>
            </w:r>
          </w:p>
        </w:tc>
      </w:tr>
    </w:tbl>
    <w:p w14:paraId="4A02B54F" w14:textId="77777777" w:rsidR="00B2553B" w:rsidRDefault="00B2553B" w:rsidP="007771E7">
      <w:pPr>
        <w:spacing w:before="120" w:after="0"/>
        <w:jc w:val="both"/>
      </w:pPr>
    </w:p>
    <w:p w14:paraId="127072E6" w14:textId="4C01ACA6" w:rsidR="003A5ED6" w:rsidRDefault="003A5ED6" w:rsidP="007771E7">
      <w:pPr>
        <w:spacing w:before="120" w:after="0"/>
        <w:jc w:val="both"/>
      </w:pPr>
      <w:r>
        <w:t xml:space="preserve">L’accès prioritaire aux </w:t>
      </w:r>
      <w:r w:rsidR="00F135DB">
        <w:t>a</w:t>
      </w:r>
      <w:r>
        <w:t>c</w:t>
      </w:r>
      <w:r w:rsidR="00F135DB">
        <w:t>tion</w:t>
      </w:r>
      <w:r>
        <w:t>s de formation (APAF) permet à certains agents de bénéficier prioritairement des dispositifs de formation suivants :</w:t>
      </w:r>
    </w:p>
    <w:p w14:paraId="745860BF" w14:textId="7AA8C4D0" w:rsidR="003A5ED6" w:rsidRDefault="003A5ED6" w:rsidP="003A4329">
      <w:pPr>
        <w:pStyle w:val="Paragraphedeliste"/>
        <w:numPr>
          <w:ilvl w:val="0"/>
          <w:numId w:val="18"/>
        </w:numPr>
        <w:spacing w:before="60" w:after="0"/>
        <w:ind w:left="714" w:hanging="357"/>
        <w:contextualSpacing w:val="0"/>
        <w:jc w:val="both"/>
      </w:pPr>
      <w:r>
        <w:t>La formation continue (fiche 1) ;</w:t>
      </w:r>
    </w:p>
    <w:p w14:paraId="02323C65" w14:textId="5FDC9C80" w:rsidR="0002518E" w:rsidRDefault="003A5ED6" w:rsidP="003A4329">
      <w:pPr>
        <w:pStyle w:val="Paragraphedeliste"/>
        <w:numPr>
          <w:ilvl w:val="0"/>
          <w:numId w:val="18"/>
        </w:numPr>
        <w:spacing w:before="60" w:after="0"/>
        <w:ind w:left="714" w:hanging="357"/>
        <w:contextualSpacing w:val="0"/>
        <w:jc w:val="both"/>
      </w:pPr>
      <w:r>
        <w:t>La formation de préparation aux examens et concours administratifs (fiche 2) ;</w:t>
      </w:r>
    </w:p>
    <w:p w14:paraId="2D6CB132" w14:textId="18E05FC1" w:rsidR="003A5ED6" w:rsidRDefault="003A5ED6" w:rsidP="003A4329">
      <w:pPr>
        <w:pStyle w:val="Paragraphedeliste"/>
        <w:numPr>
          <w:ilvl w:val="0"/>
          <w:numId w:val="18"/>
        </w:numPr>
        <w:spacing w:before="60" w:after="0"/>
        <w:ind w:left="714" w:hanging="357"/>
        <w:contextualSpacing w:val="0"/>
        <w:jc w:val="both"/>
      </w:pPr>
      <w:r>
        <w:t>La réalisation d’un bilan de compétence (fiche 4) ;</w:t>
      </w:r>
    </w:p>
    <w:p w14:paraId="72C61FAA" w14:textId="2237AE66" w:rsidR="003A5ED6" w:rsidRDefault="003A5ED6" w:rsidP="003A4329">
      <w:pPr>
        <w:pStyle w:val="Paragraphedeliste"/>
        <w:numPr>
          <w:ilvl w:val="0"/>
          <w:numId w:val="18"/>
        </w:numPr>
        <w:spacing w:before="60" w:after="0"/>
        <w:ind w:left="714" w:hanging="357"/>
        <w:contextualSpacing w:val="0"/>
        <w:jc w:val="both"/>
      </w:pPr>
      <w:r>
        <w:t>La préparation à la validation des acquis de l’expérience (fiche 5) ;</w:t>
      </w:r>
    </w:p>
    <w:p w14:paraId="4D2A4962" w14:textId="5E7C1085" w:rsidR="003A5ED6" w:rsidRDefault="003A5ED6" w:rsidP="003A4329">
      <w:pPr>
        <w:pStyle w:val="Paragraphedeliste"/>
        <w:numPr>
          <w:ilvl w:val="0"/>
          <w:numId w:val="18"/>
        </w:numPr>
        <w:spacing w:before="60" w:after="0"/>
        <w:ind w:left="714" w:hanging="357"/>
        <w:contextualSpacing w:val="0"/>
        <w:jc w:val="both"/>
      </w:pPr>
      <w:r>
        <w:t>Le congé de formation professionnelle (fiche 6).</w:t>
      </w:r>
    </w:p>
    <w:p w14:paraId="5026C598" w14:textId="7D562440" w:rsidR="0002518E" w:rsidRPr="003A4D35" w:rsidRDefault="00F135DB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Qu’est-ce que </w:t>
      </w:r>
      <w:r w:rsidR="003A5ED6">
        <w:rPr>
          <w:b/>
          <w:color w:val="538135" w:themeColor="accent6" w:themeShade="BF"/>
          <w:sz w:val="24"/>
          <w:szCs w:val="24"/>
        </w:rPr>
        <w:t>l’accès prioritaire aux actions de formation</w:t>
      </w:r>
      <w:r w:rsidR="00D94CCC">
        <w:rPr>
          <w:b/>
          <w:color w:val="538135" w:themeColor="accent6" w:themeShade="BF"/>
          <w:sz w:val="24"/>
          <w:szCs w:val="24"/>
        </w:rPr>
        <w:t xml:space="preserve"> </w:t>
      </w:r>
      <w:r w:rsidR="0002518E" w:rsidRPr="003A4D35">
        <w:rPr>
          <w:b/>
          <w:color w:val="538135" w:themeColor="accent6" w:themeShade="BF"/>
          <w:sz w:val="24"/>
          <w:szCs w:val="24"/>
        </w:rPr>
        <w:t xml:space="preserve">? </w:t>
      </w:r>
    </w:p>
    <w:p w14:paraId="5630A131" w14:textId="3B2CC343" w:rsidR="00A919AD" w:rsidRDefault="000A6073" w:rsidP="00D94CCC">
      <w:pPr>
        <w:spacing w:before="120" w:after="0"/>
        <w:jc w:val="both"/>
      </w:pPr>
      <w:r>
        <w:rPr>
          <w:b/>
        </w:rPr>
        <w:t xml:space="preserve">L’accès prioritaire aux actions de formation </w:t>
      </w:r>
      <w:r w:rsidR="00291E14">
        <w:t xml:space="preserve">a pour objet de prioriser l’accès pour certains agents à des dispositifs de formation et de favoriser leur évolution professionnelle. </w:t>
      </w:r>
    </w:p>
    <w:p w14:paraId="3F4BA7EC" w14:textId="6C08931A" w:rsidR="00291E14" w:rsidRDefault="00291E14" w:rsidP="00D94CCC">
      <w:pPr>
        <w:spacing w:before="120" w:after="0"/>
        <w:jc w:val="both"/>
      </w:pPr>
      <w:r>
        <w:t xml:space="preserve">Il </w:t>
      </w:r>
      <w:r w:rsidR="009346FD">
        <w:t>convient de</w:t>
      </w:r>
      <w:r>
        <w:t xml:space="preserve"> distinguer les </w:t>
      </w:r>
      <w:r w:rsidR="003A4329">
        <w:t>offres de formation du ministère chargé de l’agriculture et les formations</w:t>
      </w:r>
      <w:r>
        <w:t xml:space="preserve"> pouvant être mobilisées par l’agent auprès </w:t>
      </w:r>
      <w:r w:rsidR="003A4329">
        <w:t xml:space="preserve">d’un </w:t>
      </w:r>
      <w:r>
        <w:t>organisme autre que l</w:t>
      </w:r>
      <w:r w:rsidR="003A4329">
        <w:t>e ministère et pouvant nécessiter</w:t>
      </w:r>
      <w:r>
        <w:t xml:space="preserve"> un financement spécifique. </w:t>
      </w:r>
    </w:p>
    <w:p w14:paraId="1C9C2934" w14:textId="77777777" w:rsidR="00291E14" w:rsidRDefault="00291E14" w:rsidP="00D94CCC">
      <w:pPr>
        <w:spacing w:before="120" w:after="0"/>
        <w:jc w:val="both"/>
      </w:pPr>
      <w:r>
        <w:t>L’accès prioritaire aux actions de formation est de plein droit pour les dispositifs de formation figurant aux plans de formation du ministère.</w:t>
      </w:r>
    </w:p>
    <w:p w14:paraId="66483E05" w14:textId="2969E7B9" w:rsidR="00291E14" w:rsidRPr="00291E14" w:rsidRDefault="00291E14" w:rsidP="00D94CCC">
      <w:pPr>
        <w:spacing w:before="120" w:after="0"/>
        <w:jc w:val="both"/>
      </w:pPr>
      <w:r>
        <w:t xml:space="preserve">Pour les dispositifs de formation qui ne sont pas </w:t>
      </w:r>
      <w:r w:rsidR="003A4329">
        <w:t xml:space="preserve">inscrits </w:t>
      </w:r>
      <w:r>
        <w:t>aux plans de formation du ministère, l’agent devra faire une demande</w:t>
      </w:r>
      <w:r w:rsidR="00490DB2">
        <w:t xml:space="preserve"> </w:t>
      </w:r>
      <w:r w:rsidR="00490DB2" w:rsidRPr="00691117">
        <w:rPr>
          <w:b/>
        </w:rPr>
        <w:t>dans les conditions fixées par un arrêté</w:t>
      </w:r>
      <w:r w:rsidR="00490DB2">
        <w:t>.</w:t>
      </w:r>
      <w:r>
        <w:t xml:space="preserve"> </w:t>
      </w:r>
    </w:p>
    <w:p w14:paraId="252E1A66" w14:textId="2DAC7AB4" w:rsidR="00970AF6" w:rsidRPr="003A4D35" w:rsidRDefault="0002518E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 xml:space="preserve">Qui peut mobiliser </w:t>
      </w:r>
      <w:r w:rsidR="003A4329" w:rsidRPr="003A4329">
        <w:rPr>
          <w:b/>
          <w:color w:val="538135" w:themeColor="accent6" w:themeShade="BF"/>
          <w:sz w:val="24"/>
          <w:szCs w:val="24"/>
        </w:rPr>
        <w:t>l’accès prioritaire aux actions de formation ?</w:t>
      </w:r>
    </w:p>
    <w:p w14:paraId="56FA62EE" w14:textId="1EEF7793" w:rsidR="00970AF6" w:rsidRPr="00970AF6" w:rsidRDefault="00970AF6" w:rsidP="00970AF6">
      <w:pPr>
        <w:spacing w:before="120" w:after="0"/>
        <w:jc w:val="both"/>
      </w:pPr>
      <w:r>
        <w:t>L’accès prioritaire à une action de formation est réservé à certains agents au regard de la situation personnelle</w:t>
      </w:r>
      <w:r w:rsidR="003A4329">
        <w:t xml:space="preserve"> ou professionnelle </w:t>
      </w:r>
      <w:r>
        <w:t xml:space="preserve">dans laquelle ils se trouvent. </w:t>
      </w:r>
    </w:p>
    <w:p w14:paraId="05450E9F" w14:textId="070401C4" w:rsidR="00776AB6" w:rsidRPr="003A4329" w:rsidRDefault="00776AB6" w:rsidP="00776AB6">
      <w:pPr>
        <w:numPr>
          <w:ilvl w:val="0"/>
          <w:numId w:val="19"/>
        </w:numPr>
        <w:spacing w:before="120" w:after="0"/>
        <w:jc w:val="both"/>
        <w:rPr>
          <w:b/>
          <w:u w:val="single"/>
        </w:rPr>
      </w:pPr>
      <w:r w:rsidRPr="003A4329">
        <w:rPr>
          <w:b/>
          <w:u w:val="single"/>
        </w:rPr>
        <w:t xml:space="preserve">Les agents dont l’évolution professionnelle </w:t>
      </w:r>
      <w:r w:rsidR="00D83959">
        <w:rPr>
          <w:b/>
          <w:u w:val="single"/>
        </w:rPr>
        <w:t xml:space="preserve">est favorisée </w:t>
      </w:r>
      <w:r w:rsidR="003A4329">
        <w:rPr>
          <w:b/>
          <w:u w:val="single"/>
        </w:rPr>
        <w:t>au regard de leur situation individuelle</w:t>
      </w:r>
    </w:p>
    <w:p w14:paraId="76BBDEC2" w14:textId="77777777" w:rsidR="00776AB6" w:rsidRPr="003A4329" w:rsidRDefault="00776AB6" w:rsidP="00776AB6">
      <w:pPr>
        <w:numPr>
          <w:ilvl w:val="2"/>
          <w:numId w:val="19"/>
        </w:numPr>
        <w:spacing w:before="120" w:after="0"/>
        <w:jc w:val="both"/>
        <w:rPr>
          <w:b/>
          <w:i/>
        </w:rPr>
      </w:pPr>
      <w:r w:rsidRPr="003A4329">
        <w:rPr>
          <w:b/>
          <w:i/>
        </w:rPr>
        <w:t>Les agents les moins qualifiés</w:t>
      </w:r>
    </w:p>
    <w:p w14:paraId="55529109" w14:textId="59832799" w:rsidR="00970AF6" w:rsidRPr="00776AB6" w:rsidRDefault="00776AB6" w:rsidP="00776AB6">
      <w:pPr>
        <w:spacing w:before="120" w:after="0"/>
        <w:jc w:val="both"/>
      </w:pPr>
      <w:r w:rsidRPr="00776AB6">
        <w:t xml:space="preserve">Afin de favoriser son évolution professionnelle, l’agent qui appartient à un corps ou cadre d’emplois de catégorie C ou qui occupe un emploi de niveau de catégorie C, et </w:t>
      </w:r>
      <w:r w:rsidR="00614AB0">
        <w:t xml:space="preserve">qui </w:t>
      </w:r>
      <w:r w:rsidRPr="00776AB6">
        <w:t xml:space="preserve">n’a pas atteint un niveau de formation sanctionné par un diplôme ou un titre professionnel enregistré et classé de niveau </w:t>
      </w:r>
      <w:r w:rsidR="009346FD">
        <w:t>3</w:t>
      </w:r>
      <w:r w:rsidRPr="00776AB6">
        <w:t xml:space="preserve"> (agent n’ayant pas le baccalauréat) peut solliciter les dispositifs spécifiques ou bénéficier de congé de formation plus long.</w:t>
      </w:r>
    </w:p>
    <w:p w14:paraId="716F6F9F" w14:textId="77777777" w:rsidR="003A4329" w:rsidRDefault="003A4329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42C2A827" w14:textId="5D611BAC" w:rsidR="00776AB6" w:rsidRPr="002D191F" w:rsidRDefault="00776AB6" w:rsidP="00776AB6">
      <w:pPr>
        <w:numPr>
          <w:ilvl w:val="2"/>
          <w:numId w:val="19"/>
        </w:numPr>
        <w:spacing w:before="120" w:after="0"/>
        <w:jc w:val="both"/>
        <w:rPr>
          <w:b/>
          <w:i/>
        </w:rPr>
      </w:pPr>
      <w:r w:rsidRPr="002D191F">
        <w:rPr>
          <w:b/>
          <w:i/>
        </w:rPr>
        <w:lastRenderedPageBreak/>
        <w:t>Les agents en situation de handicap</w:t>
      </w:r>
    </w:p>
    <w:p w14:paraId="30698D2B" w14:textId="52AA621D" w:rsidR="00776AB6" w:rsidRPr="00776AB6" w:rsidRDefault="00776AB6" w:rsidP="00776AB6">
      <w:pPr>
        <w:spacing w:before="120" w:after="0"/>
        <w:jc w:val="both"/>
      </w:pPr>
      <w:r w:rsidRPr="00776AB6">
        <w:t>L’agent reconnu comme travailleur handicapé, mutilé de guerre ou assimilé appartenant à</w:t>
      </w:r>
      <w:r w:rsidR="003A4329">
        <w:t xml:space="preserve"> l’une des catégories suivantes </w:t>
      </w:r>
      <w:r w:rsidR="009346FD">
        <w:t>voi</w:t>
      </w:r>
      <w:r w:rsidRPr="00776AB6">
        <w:t xml:space="preserve">t </w:t>
      </w:r>
      <w:r w:rsidR="009346FD">
        <w:t>son</w:t>
      </w:r>
      <w:r w:rsidRPr="00776AB6">
        <w:t xml:space="preserve"> évolution professionnelle favorisée : </w:t>
      </w:r>
    </w:p>
    <w:p w14:paraId="5C5969B6" w14:textId="3CFA25B8" w:rsidR="00776AB6" w:rsidRPr="00776AB6" w:rsidRDefault="00776AB6" w:rsidP="00776AB6">
      <w:pPr>
        <w:numPr>
          <w:ilvl w:val="0"/>
          <w:numId w:val="20"/>
        </w:numPr>
        <w:spacing w:before="120" w:after="0"/>
        <w:jc w:val="both"/>
      </w:pPr>
      <w:proofErr w:type="gramStart"/>
      <w:r w:rsidRPr="00776AB6">
        <w:t>travailleur</w:t>
      </w:r>
      <w:proofErr w:type="gramEnd"/>
      <w:r w:rsidRPr="00776AB6">
        <w:t xml:space="preserve"> reconnu handicapé par la commission des droits et de l'auto</w:t>
      </w:r>
      <w:r w:rsidR="003A4329">
        <w:t>nomie des personnes handicapées ;</w:t>
      </w:r>
    </w:p>
    <w:p w14:paraId="6D3942B5" w14:textId="77777777" w:rsidR="00776AB6" w:rsidRPr="00776AB6" w:rsidRDefault="00776AB6" w:rsidP="00776AB6">
      <w:pPr>
        <w:numPr>
          <w:ilvl w:val="0"/>
          <w:numId w:val="20"/>
        </w:numPr>
        <w:spacing w:before="120" w:after="0"/>
        <w:jc w:val="both"/>
      </w:pPr>
      <w:proofErr w:type="gramStart"/>
      <w:r w:rsidRPr="00776AB6">
        <w:t>victime</w:t>
      </w:r>
      <w:proofErr w:type="gramEnd"/>
      <w:r w:rsidRPr="00776AB6">
        <w:t xml:space="preserve"> d'accidents du travail ou de maladies professionnelles ayant entraîné une incapacité permanente au moins égale à 10 % et titulaires d'une rente attribuée au titre du régime général de sécurité sociale ou de tout autre régime de protection sociale obligatoire ; </w:t>
      </w:r>
    </w:p>
    <w:p w14:paraId="48C1008E" w14:textId="77777777" w:rsidR="00776AB6" w:rsidRPr="00776AB6" w:rsidRDefault="00776AB6" w:rsidP="00776AB6">
      <w:pPr>
        <w:numPr>
          <w:ilvl w:val="0"/>
          <w:numId w:val="20"/>
        </w:numPr>
        <w:spacing w:before="120" w:after="0"/>
        <w:jc w:val="both"/>
      </w:pPr>
      <w:proofErr w:type="gramStart"/>
      <w:r w:rsidRPr="00776AB6">
        <w:t>titulaire</w:t>
      </w:r>
      <w:proofErr w:type="gramEnd"/>
      <w:r w:rsidRPr="00776AB6">
        <w:t xml:space="preserve"> d'une pension d'invalidité attribuée au titre du régime général de sécurité sociale, de tout autre régime de protection sociale obligatoire ou au titre des dispositions régissant les agents publics à condition que l'invalidité des intéressés réduise au moins des deux tiers leur capacité de travail ou de gain ; </w:t>
      </w:r>
    </w:p>
    <w:p w14:paraId="2F3F2985" w14:textId="7D503389" w:rsidR="00776AB6" w:rsidRPr="00776AB6" w:rsidRDefault="00776AB6" w:rsidP="00776AB6">
      <w:pPr>
        <w:numPr>
          <w:ilvl w:val="0"/>
          <w:numId w:val="20"/>
        </w:numPr>
        <w:spacing w:before="120" w:after="0"/>
        <w:jc w:val="both"/>
      </w:pPr>
      <w:r w:rsidRPr="00776AB6">
        <w:t>bénéficiaire mentionné</w:t>
      </w:r>
      <w:bookmarkStart w:id="0" w:name="_GoBack"/>
      <w:bookmarkEnd w:id="0"/>
      <w:r w:rsidRPr="00776AB6">
        <w:t xml:space="preserve"> à l'article </w:t>
      </w:r>
      <w:hyperlink r:id="rId7" w:tooltip="Code des pensions militaires d" w:history="1">
        <w:r w:rsidRPr="00776AB6">
          <w:rPr>
            <w:rStyle w:val="Lienhypertexte"/>
          </w:rPr>
          <w:t xml:space="preserve">L. 241-2 </w:t>
        </w:r>
      </w:hyperlink>
      <w:r w:rsidRPr="00776AB6">
        <w:t xml:space="preserve">du code des pensions militaires d'invalidité et des victimes de guerre ; </w:t>
      </w:r>
    </w:p>
    <w:p w14:paraId="2528964E" w14:textId="24F8A655" w:rsidR="00776AB6" w:rsidRPr="00776AB6" w:rsidRDefault="00776AB6" w:rsidP="00776AB6">
      <w:pPr>
        <w:numPr>
          <w:ilvl w:val="0"/>
          <w:numId w:val="20"/>
        </w:numPr>
        <w:spacing w:before="120" w:after="0"/>
        <w:jc w:val="both"/>
      </w:pPr>
      <w:r w:rsidRPr="00776AB6">
        <w:t xml:space="preserve">bénéficiaire mentionné aux articles </w:t>
      </w:r>
      <w:hyperlink r:id="rId8" w:tooltip="Code des pensions militaires d" w:history="1">
        <w:r w:rsidRPr="00776AB6">
          <w:rPr>
            <w:rStyle w:val="Lienhypertexte"/>
          </w:rPr>
          <w:t xml:space="preserve">L. 241-3 </w:t>
        </w:r>
      </w:hyperlink>
      <w:r w:rsidRPr="00776AB6">
        <w:t xml:space="preserve">et </w:t>
      </w:r>
      <w:hyperlink r:id="rId9" w:tooltip="Code des pensions militaires d" w:history="1">
        <w:r w:rsidRPr="00776AB6">
          <w:rPr>
            <w:rStyle w:val="Lienhypertexte"/>
          </w:rPr>
          <w:t>L. 241-4</w:t>
        </w:r>
      </w:hyperlink>
      <w:r w:rsidRPr="00776AB6">
        <w:t xml:space="preserve"> du même code ; </w:t>
      </w:r>
    </w:p>
    <w:p w14:paraId="211AF0A6" w14:textId="5097D673" w:rsidR="00776AB6" w:rsidRPr="00776AB6" w:rsidRDefault="00776AB6" w:rsidP="00776AB6">
      <w:pPr>
        <w:numPr>
          <w:ilvl w:val="0"/>
          <w:numId w:val="20"/>
        </w:numPr>
        <w:spacing w:before="120" w:after="0"/>
        <w:jc w:val="both"/>
      </w:pPr>
      <w:proofErr w:type="gramStart"/>
      <w:r w:rsidRPr="00776AB6">
        <w:t>titulaire</w:t>
      </w:r>
      <w:proofErr w:type="gramEnd"/>
      <w:r w:rsidRPr="00776AB6">
        <w:t xml:space="preserve"> d'une allocation ou d'une rente d'invalidité attribuée dans les co</w:t>
      </w:r>
      <w:r w:rsidR="002D191F">
        <w:t>nditions définies par la loi n°</w:t>
      </w:r>
      <w:r w:rsidRPr="00776AB6">
        <w:t xml:space="preserve">91-1389 du 31 décembre 1991 relative à la protection sociale des sapeurs-pompiers volontaires en cas d'accident survenu ou de maladie contractée en service ; </w:t>
      </w:r>
    </w:p>
    <w:p w14:paraId="218EE0A1" w14:textId="6138E122" w:rsidR="00776AB6" w:rsidRPr="00776AB6" w:rsidRDefault="002D191F" w:rsidP="00776AB6">
      <w:pPr>
        <w:numPr>
          <w:ilvl w:val="0"/>
          <w:numId w:val="20"/>
        </w:numPr>
        <w:spacing w:before="120" w:after="0"/>
        <w:jc w:val="both"/>
      </w:pPr>
      <w:r>
        <w:t>titulaire de la carte « mobilité inclusion » portant la mention « invalidité »</w:t>
      </w:r>
      <w:r w:rsidR="00776AB6" w:rsidRPr="00776AB6">
        <w:t xml:space="preserve"> définie à </w:t>
      </w:r>
      <w:hyperlink r:id="rId10" w:history="1">
        <w:r w:rsidR="00776AB6" w:rsidRPr="00776AB6">
          <w:rPr>
            <w:rStyle w:val="Lienhypertexte"/>
          </w:rPr>
          <w:t xml:space="preserve">l'article L. 241-3 du code de l'action sociale et des familles </w:t>
        </w:r>
      </w:hyperlink>
      <w:r w:rsidR="00776AB6" w:rsidRPr="00776AB6">
        <w:t xml:space="preserve">; </w:t>
      </w:r>
    </w:p>
    <w:p w14:paraId="014C4F8B" w14:textId="77777777" w:rsidR="00776AB6" w:rsidRPr="00776AB6" w:rsidRDefault="00776AB6" w:rsidP="00776AB6">
      <w:pPr>
        <w:numPr>
          <w:ilvl w:val="0"/>
          <w:numId w:val="20"/>
        </w:numPr>
        <w:spacing w:before="120" w:after="0"/>
        <w:jc w:val="both"/>
      </w:pPr>
      <w:proofErr w:type="gramStart"/>
      <w:r w:rsidRPr="00776AB6">
        <w:t>titulaire</w:t>
      </w:r>
      <w:proofErr w:type="gramEnd"/>
      <w:r w:rsidRPr="00776AB6">
        <w:t xml:space="preserve"> de l'allocation aux adultes handicapés.</w:t>
      </w:r>
    </w:p>
    <w:p w14:paraId="3A87EC93" w14:textId="0A7F3852" w:rsidR="00776AB6" w:rsidRPr="002D191F" w:rsidRDefault="00776AB6" w:rsidP="002D191F">
      <w:pPr>
        <w:numPr>
          <w:ilvl w:val="2"/>
          <w:numId w:val="19"/>
        </w:numPr>
        <w:spacing w:before="240" w:after="0"/>
        <w:ind w:left="1797" w:hanging="357"/>
        <w:jc w:val="both"/>
        <w:rPr>
          <w:b/>
          <w:i/>
        </w:rPr>
      </w:pPr>
      <w:r w:rsidRPr="002D191F">
        <w:rPr>
          <w:b/>
          <w:i/>
        </w:rPr>
        <w:t>Les agents les plus exposés aux risque</w:t>
      </w:r>
      <w:r w:rsidR="002D191F">
        <w:rPr>
          <w:b/>
          <w:i/>
        </w:rPr>
        <w:t>s d'usure</w:t>
      </w:r>
      <w:r w:rsidRPr="002D191F">
        <w:rPr>
          <w:b/>
          <w:i/>
        </w:rPr>
        <w:t xml:space="preserve"> professionnelle</w:t>
      </w:r>
    </w:p>
    <w:p w14:paraId="03C0805C" w14:textId="1D4C95D0" w:rsidR="00776AB6" w:rsidRDefault="00776AB6" w:rsidP="00776AB6">
      <w:pPr>
        <w:spacing w:before="120" w:after="0"/>
        <w:jc w:val="both"/>
      </w:pPr>
      <w:r w:rsidRPr="00776AB6">
        <w:t>L’agent pour lequel il est constaté, après avis du médecin du travail compétent, qu’il est particulièrement exposé, compte tenu de sa situation professionnelle individuelle, à un risque d’usure professionnelle est également concerné par les dispositifs spécifiques.</w:t>
      </w:r>
    </w:p>
    <w:p w14:paraId="1E1C1326" w14:textId="77777777" w:rsidR="00C001D9" w:rsidRPr="00776AB6" w:rsidRDefault="00C001D9" w:rsidP="00776AB6">
      <w:pPr>
        <w:spacing w:before="120" w:after="0"/>
        <w:jc w:val="both"/>
      </w:pPr>
    </w:p>
    <w:p w14:paraId="6062F4D3" w14:textId="1CBF05A0" w:rsidR="00776AB6" w:rsidRPr="003A4329" w:rsidRDefault="00776AB6" w:rsidP="002D191F">
      <w:pPr>
        <w:numPr>
          <w:ilvl w:val="0"/>
          <w:numId w:val="19"/>
        </w:numPr>
        <w:spacing w:before="240" w:after="0"/>
        <w:ind w:left="357" w:hanging="357"/>
        <w:jc w:val="both"/>
        <w:rPr>
          <w:b/>
          <w:u w:val="single"/>
        </w:rPr>
      </w:pPr>
      <w:r w:rsidRPr="003A4329">
        <w:rPr>
          <w:b/>
          <w:u w:val="single"/>
        </w:rPr>
        <w:t>Les fonctionnaires de l’</w:t>
      </w:r>
      <w:r w:rsidR="0070389D">
        <w:rPr>
          <w:b/>
          <w:u w:val="single"/>
        </w:rPr>
        <w:t>É</w:t>
      </w:r>
      <w:r w:rsidRPr="003A4329">
        <w:rPr>
          <w:b/>
          <w:u w:val="single"/>
        </w:rPr>
        <w:t>tat dont l’emploi est supprimé à l’occasion d’une restructuration de service</w:t>
      </w:r>
    </w:p>
    <w:p w14:paraId="4F572D20" w14:textId="097D7A30" w:rsidR="00776AB6" w:rsidRPr="00776AB6" w:rsidRDefault="00776AB6" w:rsidP="00776AB6">
      <w:pPr>
        <w:spacing w:before="120" w:after="0"/>
        <w:jc w:val="both"/>
      </w:pPr>
      <w:r w:rsidRPr="00776AB6">
        <w:t>Des dispositifs spécifiques de formation ont été prévus pour accompagner les restructurations des services de l’</w:t>
      </w:r>
      <w:r w:rsidR="0070389D">
        <w:t>É</w:t>
      </w:r>
      <w:r w:rsidRPr="00776AB6">
        <w:t>tat. Les fonctionnaires de l’</w:t>
      </w:r>
      <w:r w:rsidR="0070389D">
        <w:t>É</w:t>
      </w:r>
      <w:r w:rsidRPr="00776AB6">
        <w:t>tat dont l’emploi est supprimé peuvent en bénéficier lorsqu’il</w:t>
      </w:r>
      <w:r w:rsidR="002D191F">
        <w:t>s</w:t>
      </w:r>
      <w:r w:rsidRPr="00776AB6">
        <w:t xml:space="preserve"> envisagent une nouvelle affectation </w:t>
      </w:r>
      <w:r w:rsidRPr="00776AB6">
        <w:rPr>
          <w:b/>
        </w:rPr>
        <w:t xml:space="preserve">en vue d’exercer un nouveau métier </w:t>
      </w:r>
      <w:r w:rsidRPr="00776AB6">
        <w:t xml:space="preserve">au sein du secteur public ou du secteur privé.  </w:t>
      </w:r>
    </w:p>
    <w:p w14:paraId="216C523F" w14:textId="0266E02B" w:rsidR="00D94CCC" w:rsidRDefault="00776AB6" w:rsidP="00D94CCC">
      <w:pPr>
        <w:spacing w:before="120" w:after="0"/>
        <w:jc w:val="both"/>
      </w:pPr>
      <w:r w:rsidRPr="00776AB6">
        <w:t>Seuls les fonctionnaires ou les agents non titulaires de l’</w:t>
      </w:r>
      <w:r w:rsidR="0070389D">
        <w:t>É</w:t>
      </w:r>
      <w:r w:rsidRPr="00776AB6">
        <w:t xml:space="preserve">tat de droit public recrutés pour une durée indéterminée peuvent en bénéficier. </w:t>
      </w:r>
    </w:p>
    <w:p w14:paraId="5BC5C4C1" w14:textId="77777777" w:rsidR="002D191F" w:rsidRDefault="002D191F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br w:type="page"/>
      </w:r>
    </w:p>
    <w:p w14:paraId="6017ADC2" w14:textId="6FEFC0D6" w:rsidR="0002518E" w:rsidRPr="003A4D35" w:rsidRDefault="0002518E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lastRenderedPageBreak/>
        <w:t xml:space="preserve">Comment mobiliser </w:t>
      </w:r>
      <w:r w:rsidR="00892D17">
        <w:rPr>
          <w:b/>
          <w:color w:val="538135" w:themeColor="accent6" w:themeShade="BF"/>
          <w:sz w:val="24"/>
          <w:szCs w:val="24"/>
        </w:rPr>
        <w:t>l’accès prioritaire aux actions de formation</w:t>
      </w:r>
      <w:r w:rsidR="00D94CCC">
        <w:rPr>
          <w:b/>
          <w:color w:val="538135" w:themeColor="accent6" w:themeShade="BF"/>
          <w:sz w:val="24"/>
          <w:szCs w:val="24"/>
        </w:rPr>
        <w:t xml:space="preserve"> </w:t>
      </w:r>
      <w:r w:rsidRPr="003A4D35">
        <w:rPr>
          <w:b/>
          <w:color w:val="538135" w:themeColor="accent6" w:themeShade="BF"/>
          <w:sz w:val="24"/>
          <w:szCs w:val="24"/>
        </w:rPr>
        <w:t>?</w:t>
      </w:r>
    </w:p>
    <w:p w14:paraId="47D08594" w14:textId="76114235" w:rsidR="00A578AB" w:rsidRDefault="00A578AB" w:rsidP="00D94CCC">
      <w:pPr>
        <w:spacing w:before="120" w:after="0"/>
        <w:jc w:val="both"/>
      </w:pPr>
      <w:r>
        <w:t>Pour les actions de formation assurées par le ministère :</w:t>
      </w:r>
    </w:p>
    <w:p w14:paraId="6CD29331" w14:textId="6EC924B2" w:rsidR="00835611" w:rsidRDefault="00A578AB" w:rsidP="00A578AB">
      <w:pPr>
        <w:pStyle w:val="Paragraphedeliste"/>
        <w:numPr>
          <w:ilvl w:val="0"/>
          <w:numId w:val="21"/>
        </w:numPr>
        <w:spacing w:before="120" w:after="0"/>
        <w:jc w:val="both"/>
      </w:pPr>
      <w:r>
        <w:t xml:space="preserve">Lors de l’inscription à une action de formation sur </w:t>
      </w:r>
      <w:r w:rsidR="002D191F">
        <w:t>son S</w:t>
      </w:r>
      <w:r>
        <w:t xml:space="preserve">elf-mobile, l’agent </w:t>
      </w:r>
      <w:r w:rsidR="002D191F">
        <w:t>indique</w:t>
      </w:r>
      <w:r>
        <w:t xml:space="preserve"> dans la </w:t>
      </w:r>
      <w:r w:rsidR="00970AF6">
        <w:t xml:space="preserve">rubrique </w:t>
      </w:r>
      <w:r w:rsidR="002D191F">
        <w:t>« </w:t>
      </w:r>
      <w:r w:rsidR="00C001D9">
        <w:t>M</w:t>
      </w:r>
      <w:r>
        <w:t>otivation</w:t>
      </w:r>
      <w:r w:rsidR="002D191F">
        <w:t> »</w:t>
      </w:r>
      <w:r>
        <w:t xml:space="preserve"> que la demande est faite dans le cadre de l’accès prioritaire aux actions de formation. L’accès à la formation est </w:t>
      </w:r>
      <w:r w:rsidR="002D191F">
        <w:t xml:space="preserve">donc </w:t>
      </w:r>
      <w:r>
        <w:t xml:space="preserve">de plein droit. </w:t>
      </w:r>
    </w:p>
    <w:p w14:paraId="58D79933" w14:textId="77777777" w:rsidR="006C2DDB" w:rsidRDefault="006C2DDB" w:rsidP="006C2DDB">
      <w:pPr>
        <w:spacing w:before="120" w:after="0"/>
        <w:jc w:val="both"/>
      </w:pPr>
    </w:p>
    <w:p w14:paraId="5619BEC3" w14:textId="1827F14C" w:rsidR="00A578AB" w:rsidRDefault="00A578AB" w:rsidP="00691117">
      <w:pPr>
        <w:pStyle w:val="Paragraphedeliste"/>
        <w:numPr>
          <w:ilvl w:val="0"/>
          <w:numId w:val="21"/>
        </w:numPr>
        <w:spacing w:before="120" w:after="0"/>
        <w:jc w:val="both"/>
      </w:pPr>
      <w:r>
        <w:t>Lorsque l’action de formation n’est pas assurée par l</w:t>
      </w:r>
      <w:r w:rsidR="006C2DDB">
        <w:t xml:space="preserve">e ministère, </w:t>
      </w:r>
      <w:r w:rsidR="002D191F">
        <w:t xml:space="preserve">l’agent dépose sa demande </w:t>
      </w:r>
      <w:r w:rsidR="00C56D14">
        <w:t>auprès de sa délégation régionale à la formation continue</w:t>
      </w:r>
      <w:r w:rsidR="002D191F">
        <w:t>.</w:t>
      </w:r>
      <w:r w:rsidR="00691117">
        <w:t xml:space="preserve"> Un arrêté précisera </w:t>
      </w:r>
      <w:r w:rsidR="00691117" w:rsidRPr="00691117">
        <w:t xml:space="preserve">les modalités de mise en œuvre de cet accès prioritaire </w:t>
      </w:r>
      <w:r w:rsidR="00691117">
        <w:t>et</w:t>
      </w:r>
      <w:r w:rsidR="00691117" w:rsidRPr="00691117">
        <w:t xml:space="preserve"> </w:t>
      </w:r>
      <w:r w:rsidR="00D27E3E">
        <w:t>pourra</w:t>
      </w:r>
      <w:r w:rsidR="00691117" w:rsidRPr="00691117">
        <w:t xml:space="preserve"> définir des plafonds de financement.</w:t>
      </w:r>
    </w:p>
    <w:p w14:paraId="32D19DDD" w14:textId="77777777" w:rsidR="00D83959" w:rsidRDefault="00D83959" w:rsidP="006C2DDB">
      <w:pPr>
        <w:spacing w:before="120" w:after="0"/>
        <w:jc w:val="center"/>
      </w:pPr>
    </w:p>
    <w:p w14:paraId="171CDE40" w14:textId="1990796D" w:rsidR="00AE3D39" w:rsidRPr="003A4D35" w:rsidRDefault="00AE3D39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 xml:space="preserve">Comment se déroule </w:t>
      </w:r>
      <w:r w:rsidR="00892D17">
        <w:rPr>
          <w:b/>
          <w:color w:val="538135" w:themeColor="accent6" w:themeShade="BF"/>
          <w:sz w:val="24"/>
          <w:szCs w:val="24"/>
        </w:rPr>
        <w:t>l’accès prioritaire aux actions de formation</w:t>
      </w:r>
      <w:r w:rsidR="00D94CCC">
        <w:rPr>
          <w:b/>
          <w:color w:val="538135" w:themeColor="accent6" w:themeShade="BF"/>
          <w:sz w:val="24"/>
          <w:szCs w:val="24"/>
        </w:rPr>
        <w:t xml:space="preserve"> </w:t>
      </w:r>
      <w:r w:rsidRPr="003A4D35">
        <w:rPr>
          <w:b/>
          <w:color w:val="538135" w:themeColor="accent6" w:themeShade="BF"/>
          <w:sz w:val="24"/>
          <w:szCs w:val="24"/>
        </w:rPr>
        <w:t>?</w:t>
      </w:r>
    </w:p>
    <w:p w14:paraId="26A14788" w14:textId="60EC1544" w:rsidR="00D94CCC" w:rsidRPr="00D94CCC" w:rsidRDefault="00937ECB" w:rsidP="00D94CCC">
      <w:pPr>
        <w:spacing w:before="120" w:after="0"/>
        <w:jc w:val="both"/>
      </w:pPr>
      <w:r>
        <w:t xml:space="preserve">L’accès prioritaire aux actions de formation permet à l’agent de mobiliser en priorité des dispositifs de formation. </w:t>
      </w:r>
    </w:p>
    <w:p w14:paraId="210763B1" w14:textId="6C105170" w:rsidR="00BB6C15" w:rsidRPr="003A4D35" w:rsidRDefault="00BB6C15" w:rsidP="00BB6C1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Pour aller plus loin…</w:t>
      </w:r>
    </w:p>
    <w:p w14:paraId="49E632C2" w14:textId="1BB30CE1" w:rsidR="00654D02" w:rsidRDefault="00654D02" w:rsidP="002D191F">
      <w:pPr>
        <w:pStyle w:val="Paragraphedeliste"/>
        <w:numPr>
          <w:ilvl w:val="0"/>
          <w:numId w:val="23"/>
        </w:numPr>
        <w:spacing w:before="120" w:after="0"/>
        <w:ind w:left="357" w:hanging="357"/>
        <w:contextualSpacing w:val="0"/>
        <w:jc w:val="both"/>
      </w:pPr>
      <w:r>
        <w:t>Agents bénéficiant d’un renforcement de leur d</w:t>
      </w:r>
      <w:r w:rsidR="002D191F">
        <w:t>roit à la formation :</w:t>
      </w:r>
    </w:p>
    <w:p w14:paraId="19671428" w14:textId="331BBB1E" w:rsidR="00654D02" w:rsidRDefault="00BB6C15" w:rsidP="002D191F">
      <w:pPr>
        <w:pStyle w:val="Paragraphedeliste"/>
        <w:numPr>
          <w:ilvl w:val="0"/>
          <w:numId w:val="24"/>
        </w:numPr>
        <w:spacing w:before="60" w:after="0"/>
        <w:ind w:left="714" w:hanging="357"/>
        <w:contextualSpacing w:val="0"/>
        <w:jc w:val="both"/>
      </w:pPr>
      <w:r>
        <w:t xml:space="preserve">Article </w:t>
      </w:r>
      <w:r w:rsidR="00653ED7">
        <w:t>L</w:t>
      </w:r>
      <w:r w:rsidR="00E57155">
        <w:t xml:space="preserve">. </w:t>
      </w:r>
      <w:r w:rsidR="00892D17">
        <w:t>422-3</w:t>
      </w:r>
      <w:r w:rsidR="00653ED7">
        <w:t xml:space="preserve"> du code général de la fonction publique </w:t>
      </w:r>
      <w:r>
        <w:t>;</w:t>
      </w:r>
    </w:p>
    <w:p w14:paraId="661AF451" w14:textId="7B6106E5" w:rsidR="00654D02" w:rsidRDefault="00654D02" w:rsidP="002D191F">
      <w:pPr>
        <w:pStyle w:val="Paragraphedeliste"/>
        <w:numPr>
          <w:ilvl w:val="0"/>
          <w:numId w:val="24"/>
        </w:numPr>
        <w:spacing w:before="60" w:after="0"/>
        <w:ind w:left="714" w:hanging="357"/>
        <w:contextualSpacing w:val="0"/>
        <w:jc w:val="both"/>
      </w:pPr>
      <w:r>
        <w:t xml:space="preserve">Article 2-2 du décret 2007-1470 du 15 octobre 2007 modifié relatif à la formation professionnelle tout au long de la vie </w:t>
      </w:r>
      <w:r w:rsidR="002D191F">
        <w:t>des fonctionnaires de l’Etat.</w:t>
      </w:r>
    </w:p>
    <w:p w14:paraId="247BC714" w14:textId="36C61418" w:rsidR="00654D02" w:rsidRDefault="00654D02" w:rsidP="002D191F">
      <w:pPr>
        <w:pStyle w:val="Paragraphedeliste"/>
        <w:numPr>
          <w:ilvl w:val="0"/>
          <w:numId w:val="23"/>
        </w:numPr>
        <w:spacing w:before="120" w:after="0"/>
        <w:ind w:left="357" w:hanging="357"/>
        <w:contextualSpacing w:val="0"/>
        <w:jc w:val="both"/>
      </w:pPr>
      <w:r>
        <w:t xml:space="preserve">Agents dans le cadre d’une restructuration : </w:t>
      </w:r>
    </w:p>
    <w:p w14:paraId="330C6171" w14:textId="219677B9" w:rsidR="00654D02" w:rsidRDefault="00654D02" w:rsidP="002D191F">
      <w:pPr>
        <w:pStyle w:val="Paragraphedeliste"/>
        <w:numPr>
          <w:ilvl w:val="0"/>
          <w:numId w:val="24"/>
        </w:numPr>
        <w:spacing w:before="60" w:after="0"/>
        <w:ind w:left="714" w:hanging="357"/>
        <w:contextualSpacing w:val="0"/>
        <w:jc w:val="both"/>
      </w:pPr>
      <w:r>
        <w:t>Article 62bis de la loi n°84-16 du 11 janvier 1984 modifiée portant dispositions statutaires relatives à la fonction publique d’Etat ;</w:t>
      </w:r>
    </w:p>
    <w:p w14:paraId="7CC72D0F" w14:textId="71980474" w:rsidR="00571803" w:rsidRDefault="00892D17" w:rsidP="002D191F">
      <w:pPr>
        <w:pStyle w:val="Paragraphedeliste"/>
        <w:numPr>
          <w:ilvl w:val="0"/>
          <w:numId w:val="24"/>
        </w:numPr>
        <w:spacing w:before="60" w:after="0"/>
        <w:ind w:left="714" w:hanging="357"/>
        <w:contextualSpacing w:val="0"/>
        <w:jc w:val="both"/>
      </w:pPr>
      <w:r>
        <w:t>Article 5 du décret n°2019-1441 du 23 décembre 2019 relatif aux mesures d’accompagnement de la restructuration d’un service de l’Etat ou de l’un</w:t>
      </w:r>
      <w:r w:rsidR="002D191F">
        <w:t xml:space="preserve"> de ses établissements publics.</w:t>
      </w:r>
    </w:p>
    <w:sectPr w:rsidR="00571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895A" w14:textId="77777777" w:rsidR="0002518E" w:rsidRDefault="0002518E" w:rsidP="0002518E">
      <w:pPr>
        <w:spacing w:after="0" w:line="240" w:lineRule="auto"/>
      </w:pPr>
      <w:r>
        <w:separator/>
      </w:r>
    </w:p>
  </w:endnote>
  <w:endnote w:type="continuationSeparator" w:id="0">
    <w:p w14:paraId="74614E37" w14:textId="77777777" w:rsidR="0002518E" w:rsidRDefault="0002518E" w:rsidP="0002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ED8A" w14:textId="77777777" w:rsidR="00714C11" w:rsidRDefault="00714C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667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09BD0" w14:textId="6A59C4D0" w:rsidR="00614AB0" w:rsidRDefault="00614AB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6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6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DA38A" w14:textId="77777777" w:rsidR="00614AB0" w:rsidRDefault="00614A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3CD0" w14:textId="77777777" w:rsidR="00714C11" w:rsidRDefault="00714C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20CB4" w14:textId="77777777" w:rsidR="0002518E" w:rsidRDefault="0002518E" w:rsidP="0002518E">
      <w:pPr>
        <w:spacing w:after="0" w:line="240" w:lineRule="auto"/>
      </w:pPr>
      <w:r>
        <w:separator/>
      </w:r>
    </w:p>
  </w:footnote>
  <w:footnote w:type="continuationSeparator" w:id="0">
    <w:p w14:paraId="7BF5E58A" w14:textId="77777777" w:rsidR="0002518E" w:rsidRDefault="0002518E" w:rsidP="0002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D2F5" w14:textId="47760F81" w:rsidR="00714C11" w:rsidRDefault="00714C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AEF12" w14:textId="173D9E2F" w:rsidR="00714C11" w:rsidRDefault="00714C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0C54" w14:textId="20967793" w:rsidR="00714C11" w:rsidRDefault="00714C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C9"/>
    <w:multiLevelType w:val="hybridMultilevel"/>
    <w:tmpl w:val="8F308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4E61"/>
    <w:multiLevelType w:val="hybridMultilevel"/>
    <w:tmpl w:val="5BE49B86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62F"/>
    <w:multiLevelType w:val="hybridMultilevel"/>
    <w:tmpl w:val="24AAFD0C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5828"/>
    <w:multiLevelType w:val="hybridMultilevel"/>
    <w:tmpl w:val="7E46A8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3E18"/>
    <w:multiLevelType w:val="hybridMultilevel"/>
    <w:tmpl w:val="46C0A5BE"/>
    <w:lvl w:ilvl="0" w:tplc="7D9C6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AC2"/>
    <w:multiLevelType w:val="hybridMultilevel"/>
    <w:tmpl w:val="DE6ED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141E"/>
    <w:multiLevelType w:val="hybridMultilevel"/>
    <w:tmpl w:val="116CD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22EF"/>
    <w:multiLevelType w:val="hybridMultilevel"/>
    <w:tmpl w:val="DDFEF9F6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6200"/>
    <w:multiLevelType w:val="hybridMultilevel"/>
    <w:tmpl w:val="A57C0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C71"/>
    <w:multiLevelType w:val="hybridMultilevel"/>
    <w:tmpl w:val="DDDCDE1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995D1D"/>
    <w:multiLevelType w:val="hybridMultilevel"/>
    <w:tmpl w:val="ECA0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63F2"/>
    <w:multiLevelType w:val="hybridMultilevel"/>
    <w:tmpl w:val="05A4CD38"/>
    <w:lvl w:ilvl="0" w:tplc="298659E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7430F"/>
    <w:multiLevelType w:val="hybridMultilevel"/>
    <w:tmpl w:val="9AD2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65832"/>
    <w:multiLevelType w:val="hybridMultilevel"/>
    <w:tmpl w:val="3A867B22"/>
    <w:lvl w:ilvl="0" w:tplc="E8DE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479AC"/>
    <w:multiLevelType w:val="hybridMultilevel"/>
    <w:tmpl w:val="FACAA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7382D"/>
    <w:multiLevelType w:val="hybridMultilevel"/>
    <w:tmpl w:val="AAE228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C551F"/>
    <w:multiLevelType w:val="hybridMultilevel"/>
    <w:tmpl w:val="76260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06192"/>
    <w:multiLevelType w:val="hybridMultilevel"/>
    <w:tmpl w:val="C35E7C70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A7EF9"/>
    <w:multiLevelType w:val="hybridMultilevel"/>
    <w:tmpl w:val="88F46F84"/>
    <w:lvl w:ilvl="0" w:tplc="71565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7143"/>
    <w:multiLevelType w:val="hybridMultilevel"/>
    <w:tmpl w:val="C89695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530B65"/>
    <w:multiLevelType w:val="hybridMultilevel"/>
    <w:tmpl w:val="A8984E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B81640"/>
    <w:multiLevelType w:val="hybridMultilevel"/>
    <w:tmpl w:val="77B85DE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C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E18F6"/>
    <w:multiLevelType w:val="hybridMultilevel"/>
    <w:tmpl w:val="AEAA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00474"/>
    <w:multiLevelType w:val="hybridMultilevel"/>
    <w:tmpl w:val="1B2CC8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20"/>
  </w:num>
  <w:num w:numId="8">
    <w:abstractNumId w:val="15"/>
  </w:num>
  <w:num w:numId="9">
    <w:abstractNumId w:val="3"/>
  </w:num>
  <w:num w:numId="10">
    <w:abstractNumId w:val="0"/>
  </w:num>
  <w:num w:numId="11">
    <w:abstractNumId w:val="16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8"/>
  </w:num>
  <w:num w:numId="17">
    <w:abstractNumId w:val="1"/>
  </w:num>
  <w:num w:numId="18">
    <w:abstractNumId w:val="18"/>
  </w:num>
  <w:num w:numId="19">
    <w:abstractNumId w:val="21"/>
  </w:num>
  <w:num w:numId="20">
    <w:abstractNumId w:val="4"/>
  </w:num>
  <w:num w:numId="21">
    <w:abstractNumId w:val="9"/>
  </w:num>
  <w:num w:numId="22">
    <w:abstractNumId w:val="19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1E"/>
    <w:rsid w:val="0002518E"/>
    <w:rsid w:val="000406D5"/>
    <w:rsid w:val="000A591E"/>
    <w:rsid w:val="000A6073"/>
    <w:rsid w:val="000D3771"/>
    <w:rsid w:val="00146FD5"/>
    <w:rsid w:val="001D615E"/>
    <w:rsid w:val="0026711D"/>
    <w:rsid w:val="002677F5"/>
    <w:rsid w:val="00291E14"/>
    <w:rsid w:val="002922B0"/>
    <w:rsid w:val="002B7AF9"/>
    <w:rsid w:val="002D191F"/>
    <w:rsid w:val="002E2DB6"/>
    <w:rsid w:val="00314A9C"/>
    <w:rsid w:val="003602CC"/>
    <w:rsid w:val="00392450"/>
    <w:rsid w:val="003A1B74"/>
    <w:rsid w:val="003A4329"/>
    <w:rsid w:val="003A4D35"/>
    <w:rsid w:val="003A5ED6"/>
    <w:rsid w:val="003C0BBA"/>
    <w:rsid w:val="003C6B3B"/>
    <w:rsid w:val="003E140C"/>
    <w:rsid w:val="003E14C2"/>
    <w:rsid w:val="00421BD6"/>
    <w:rsid w:val="00486F07"/>
    <w:rsid w:val="00490DB2"/>
    <w:rsid w:val="004A4D15"/>
    <w:rsid w:val="004D2948"/>
    <w:rsid w:val="004D3BB9"/>
    <w:rsid w:val="00571803"/>
    <w:rsid w:val="005847D8"/>
    <w:rsid w:val="005A4951"/>
    <w:rsid w:val="005E4BD6"/>
    <w:rsid w:val="0060209E"/>
    <w:rsid w:val="00602845"/>
    <w:rsid w:val="00614AB0"/>
    <w:rsid w:val="00624F51"/>
    <w:rsid w:val="00653ED7"/>
    <w:rsid w:val="00654473"/>
    <w:rsid w:val="00654D02"/>
    <w:rsid w:val="006771ED"/>
    <w:rsid w:val="00691117"/>
    <w:rsid w:val="006C2DDB"/>
    <w:rsid w:val="006E1FA2"/>
    <w:rsid w:val="006E3CA0"/>
    <w:rsid w:val="0070389D"/>
    <w:rsid w:val="00714C11"/>
    <w:rsid w:val="007268EE"/>
    <w:rsid w:val="00776AB6"/>
    <w:rsid w:val="007771E7"/>
    <w:rsid w:val="007C749B"/>
    <w:rsid w:val="0081209C"/>
    <w:rsid w:val="008267B7"/>
    <w:rsid w:val="00835611"/>
    <w:rsid w:val="00854D57"/>
    <w:rsid w:val="00892D17"/>
    <w:rsid w:val="00916CFE"/>
    <w:rsid w:val="009346FD"/>
    <w:rsid w:val="00937ECB"/>
    <w:rsid w:val="00967524"/>
    <w:rsid w:val="00970AF6"/>
    <w:rsid w:val="00986F2A"/>
    <w:rsid w:val="009902E6"/>
    <w:rsid w:val="00996969"/>
    <w:rsid w:val="009E37DC"/>
    <w:rsid w:val="00A044DE"/>
    <w:rsid w:val="00A16F4E"/>
    <w:rsid w:val="00A578AB"/>
    <w:rsid w:val="00A850D7"/>
    <w:rsid w:val="00A919AD"/>
    <w:rsid w:val="00AE3D39"/>
    <w:rsid w:val="00B2553B"/>
    <w:rsid w:val="00B524F0"/>
    <w:rsid w:val="00B65A01"/>
    <w:rsid w:val="00B85C56"/>
    <w:rsid w:val="00B86A1A"/>
    <w:rsid w:val="00B90949"/>
    <w:rsid w:val="00BB6C15"/>
    <w:rsid w:val="00BC6327"/>
    <w:rsid w:val="00C001D9"/>
    <w:rsid w:val="00C56D14"/>
    <w:rsid w:val="00C650E7"/>
    <w:rsid w:val="00C879CC"/>
    <w:rsid w:val="00CB65A8"/>
    <w:rsid w:val="00D017F9"/>
    <w:rsid w:val="00D171A7"/>
    <w:rsid w:val="00D27E3E"/>
    <w:rsid w:val="00D67079"/>
    <w:rsid w:val="00D83959"/>
    <w:rsid w:val="00D94CCC"/>
    <w:rsid w:val="00DC3260"/>
    <w:rsid w:val="00E37CE5"/>
    <w:rsid w:val="00E57155"/>
    <w:rsid w:val="00E6441D"/>
    <w:rsid w:val="00E65EF7"/>
    <w:rsid w:val="00EB4446"/>
    <w:rsid w:val="00EE310A"/>
    <w:rsid w:val="00EE6D92"/>
    <w:rsid w:val="00F036C1"/>
    <w:rsid w:val="00F135DB"/>
    <w:rsid w:val="00F16DD5"/>
    <w:rsid w:val="00F23BA3"/>
    <w:rsid w:val="00F7339B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0A6E4"/>
  <w15:chartTrackingRefBased/>
  <w15:docId w15:val="{3B8E529C-4332-4A60-B356-CB0E467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9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A4D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D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D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D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1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1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1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18E"/>
    <w:rPr>
      <w:vertAlign w:val="superscript"/>
    </w:rPr>
  </w:style>
  <w:style w:type="table" w:styleId="Grilledutableau">
    <w:name w:val="Table Grid"/>
    <w:basedOn w:val="TableauNormal"/>
    <w:uiPriority w:val="39"/>
    <w:rsid w:val="003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6AB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432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AB0"/>
  </w:style>
  <w:style w:type="paragraph" w:styleId="Pieddepage">
    <w:name w:val="footer"/>
    <w:basedOn w:val="Normal"/>
    <w:link w:val="PieddepageCar"/>
    <w:uiPriority w:val="99"/>
    <w:unhideWhenUsed/>
    <w:rsid w:val="0061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4068&amp;idArticle=LEGIARTI000031709727&amp;dateTexte=&amp;categorieLien=c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74068&amp;idArticle=LEGIARTI000031709725&amp;dateTexte=&amp;categorieLien=ci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egifrance.gouv.fr/affichCodeArticle.do?cidTexte=LEGITEXT000006074069&amp;idArticle=LEGIARTI000006797041&amp;dateTexte=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?cidTexte=LEGITEXT000006074068&amp;idArticle=LEGIARTI000031709729&amp;dateTexte=&amp;categorieLien=c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LASNE</dc:creator>
  <cp:keywords/>
  <dc:description/>
  <cp:lastModifiedBy>Florence PINATEL IGOA</cp:lastModifiedBy>
  <cp:revision>5</cp:revision>
  <dcterms:created xsi:type="dcterms:W3CDTF">2022-11-09T13:15:00Z</dcterms:created>
  <dcterms:modified xsi:type="dcterms:W3CDTF">2022-12-07T10:16:00Z</dcterms:modified>
</cp:coreProperties>
</file>