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991D0" w14:textId="3F0AAC87" w:rsidR="00B2553B" w:rsidRPr="003A4D35" w:rsidRDefault="00B2553B" w:rsidP="003A4D35">
      <w:pPr>
        <w:spacing w:before="120" w:after="240"/>
        <w:jc w:val="right"/>
        <w:rPr>
          <w:b/>
          <w:color w:val="538135" w:themeColor="accent6" w:themeShade="BF"/>
          <w:sz w:val="28"/>
          <w:szCs w:val="28"/>
        </w:rPr>
      </w:pPr>
      <w:r w:rsidRPr="003A4D35">
        <w:rPr>
          <w:b/>
          <w:color w:val="538135" w:themeColor="accent6" w:themeShade="BF"/>
          <w:sz w:val="28"/>
          <w:szCs w:val="28"/>
        </w:rPr>
        <w:t>Fiche n°</w:t>
      </w:r>
      <w:r w:rsidR="00854D57">
        <w:rPr>
          <w:b/>
          <w:color w:val="538135" w:themeColor="accent6" w:themeShade="BF"/>
          <w:sz w:val="28"/>
          <w:szCs w:val="28"/>
        </w:rPr>
        <w:t>7</w:t>
      </w:r>
    </w:p>
    <w:tbl>
      <w:tblPr>
        <w:tblStyle w:val="Grilledutableau"/>
        <w:tblW w:w="0" w:type="auto"/>
        <w:tblBorders>
          <w:top w:val="double" w:sz="12" w:space="0" w:color="70AD47" w:themeColor="accent6"/>
          <w:left w:val="double" w:sz="12" w:space="0" w:color="70AD47" w:themeColor="accent6"/>
          <w:bottom w:val="double" w:sz="12" w:space="0" w:color="70AD47" w:themeColor="accent6"/>
          <w:right w:val="double" w:sz="12" w:space="0" w:color="70AD47" w:themeColor="accent6"/>
          <w:insideH w:val="none" w:sz="0" w:space="0" w:color="auto"/>
          <w:insideV w:val="none" w:sz="0" w:space="0" w:color="auto"/>
        </w:tblBorders>
        <w:tblLook w:val="04A0" w:firstRow="1" w:lastRow="0" w:firstColumn="1" w:lastColumn="0" w:noHBand="0" w:noVBand="1"/>
      </w:tblPr>
      <w:tblGrid>
        <w:gridCol w:w="8982"/>
      </w:tblGrid>
      <w:tr w:rsidR="003A4D35" w14:paraId="70B51327" w14:textId="77777777" w:rsidTr="003D589E">
        <w:tc>
          <w:tcPr>
            <w:tcW w:w="8982" w:type="dxa"/>
          </w:tcPr>
          <w:p w14:paraId="1E71040C" w14:textId="3CB9EB86" w:rsidR="003A4D35" w:rsidRDefault="00D94CCC" w:rsidP="00E57155">
            <w:pPr>
              <w:spacing w:before="240" w:after="240"/>
              <w:jc w:val="center"/>
            </w:pPr>
            <w:r>
              <w:rPr>
                <w:b/>
                <w:color w:val="538135" w:themeColor="accent6" w:themeShade="BF"/>
                <w:sz w:val="28"/>
                <w:szCs w:val="28"/>
              </w:rPr>
              <w:t>La période de professionnalisation</w:t>
            </w:r>
          </w:p>
        </w:tc>
      </w:tr>
    </w:tbl>
    <w:p w14:paraId="4A02B54F" w14:textId="77777777" w:rsidR="00B2553B" w:rsidRDefault="00B2553B" w:rsidP="007771E7">
      <w:pPr>
        <w:spacing w:before="120" w:after="0"/>
        <w:jc w:val="both"/>
      </w:pPr>
    </w:p>
    <w:p w14:paraId="02323C65" w14:textId="1943351A" w:rsidR="0002518E" w:rsidRDefault="00D94CCC" w:rsidP="007771E7">
      <w:pPr>
        <w:spacing w:before="120" w:after="0"/>
        <w:jc w:val="both"/>
      </w:pPr>
      <w:r>
        <w:t>La fonction publique est composée d’une diversité d’emploi</w:t>
      </w:r>
      <w:r w:rsidR="00E57155">
        <w:t>s</w:t>
      </w:r>
      <w:r>
        <w:t>. L</w:t>
      </w:r>
      <w:r w:rsidR="006E3CA0">
        <w:t xml:space="preserve">es carrières peuvent prendre </w:t>
      </w:r>
      <w:r w:rsidR="00DC3260">
        <w:t xml:space="preserve">plusieurs directions </w:t>
      </w:r>
      <w:r>
        <w:t>au sein du</w:t>
      </w:r>
      <w:r w:rsidR="00DC3260">
        <w:t xml:space="preserve"> secteur public</w:t>
      </w:r>
      <w:r w:rsidR="006E3CA0">
        <w:t>. T</w:t>
      </w:r>
      <w:r w:rsidR="00F036C1">
        <w:t>out agent peut se questionner sur les orientations professionnelles prises et peut avoir envie de changer de domaine de compétence</w:t>
      </w:r>
      <w:r w:rsidR="006E3CA0">
        <w:t>s</w:t>
      </w:r>
      <w:r w:rsidR="00602845">
        <w:t xml:space="preserve"> ou</w:t>
      </w:r>
      <w:r w:rsidR="00F036C1">
        <w:t xml:space="preserve"> de métier</w:t>
      </w:r>
      <w:r w:rsidR="00A919AD">
        <w:t xml:space="preserve"> au sein de la fonction publique</w:t>
      </w:r>
      <w:r w:rsidR="00F036C1">
        <w:t xml:space="preserve">. </w:t>
      </w:r>
    </w:p>
    <w:p w14:paraId="5026C598" w14:textId="48D05924" w:rsidR="0002518E" w:rsidRPr="003A4D35" w:rsidRDefault="0002518E" w:rsidP="003A4D35">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t>Qu’est-ce qu’un</w:t>
      </w:r>
      <w:r w:rsidR="00D94CCC">
        <w:rPr>
          <w:b/>
          <w:color w:val="538135" w:themeColor="accent6" w:themeShade="BF"/>
          <w:sz w:val="24"/>
          <w:szCs w:val="24"/>
        </w:rPr>
        <w:t xml:space="preserve">e période de professionnalisation </w:t>
      </w:r>
      <w:r w:rsidRPr="003A4D35">
        <w:rPr>
          <w:b/>
          <w:color w:val="538135" w:themeColor="accent6" w:themeShade="BF"/>
          <w:sz w:val="24"/>
          <w:szCs w:val="24"/>
        </w:rPr>
        <w:t xml:space="preserve">? </w:t>
      </w:r>
    </w:p>
    <w:p w14:paraId="29B5F29C" w14:textId="77777777" w:rsidR="00E57155" w:rsidRPr="00D017F9" w:rsidRDefault="00D94CCC" w:rsidP="00D94CCC">
      <w:pPr>
        <w:spacing w:before="120" w:after="0"/>
        <w:jc w:val="both"/>
        <w:rPr>
          <w:b/>
        </w:rPr>
      </w:pPr>
      <w:r w:rsidRPr="00D017F9">
        <w:rPr>
          <w:b/>
        </w:rPr>
        <w:t xml:space="preserve">La période de professionnalisation </w:t>
      </w:r>
      <w:r w:rsidR="00E57155" w:rsidRPr="00D017F9">
        <w:rPr>
          <w:b/>
        </w:rPr>
        <w:t>permet</w:t>
      </w:r>
      <w:r w:rsidRPr="00D017F9">
        <w:rPr>
          <w:b/>
        </w:rPr>
        <w:t xml:space="preserve"> la réalisation au sein d’une administration d’un projet professionnel qui vise à accéder à un emploi exigeant des compétences nouvelles ou correspondant à des activités professionnelles différentes. </w:t>
      </w:r>
    </w:p>
    <w:p w14:paraId="3B9EE7E6" w14:textId="5B3F3F4B" w:rsidR="00D94CCC" w:rsidRDefault="00D94CCC" w:rsidP="00D94CCC">
      <w:pPr>
        <w:spacing w:before="120" w:after="0"/>
        <w:jc w:val="both"/>
      </w:pPr>
      <w:r>
        <w:t xml:space="preserve">La période de professionnalisation d’une durée comprise entre 3 mois et 1 an comporte une activité de service et des actions de formation en alternance. </w:t>
      </w:r>
      <w:r w:rsidRPr="007334A2">
        <w:rPr>
          <w:b/>
        </w:rPr>
        <w:t xml:space="preserve">Elle s’inscrit donc dans une démarche de construction </w:t>
      </w:r>
      <w:r w:rsidR="00E57155" w:rsidRPr="007334A2">
        <w:rPr>
          <w:b/>
        </w:rPr>
        <w:t>d’un</w:t>
      </w:r>
      <w:r w:rsidRPr="007334A2">
        <w:rPr>
          <w:b/>
        </w:rPr>
        <w:t xml:space="preserve"> parcours professionnel</w:t>
      </w:r>
      <w:r>
        <w:t>.</w:t>
      </w:r>
    </w:p>
    <w:p w14:paraId="5A333978" w14:textId="77777777" w:rsidR="00D94CCC" w:rsidRDefault="00D94CCC" w:rsidP="00D94CCC">
      <w:pPr>
        <w:spacing w:before="120" w:after="0"/>
        <w:jc w:val="both"/>
      </w:pPr>
      <w:r>
        <w:t xml:space="preserve">Elle est adaptée aux spécificités de l’emploi auquel se destine l’agent et peut se dérouler dans un emploi différent de celui de son affectation antérieure. </w:t>
      </w:r>
    </w:p>
    <w:p w14:paraId="4CD2D03F" w14:textId="77777777" w:rsidR="00634572" w:rsidRDefault="00D94CCC" w:rsidP="00634572">
      <w:pPr>
        <w:spacing w:before="120" w:after="0"/>
        <w:jc w:val="both"/>
      </w:pPr>
      <w:r>
        <w:t xml:space="preserve">Pour les fonctionnaires, la période de professionnalisation permet également de donner accès à un autre corps ou cadre d’emploi de même niveau et classé dans la même catégorie. Pour bénéficier de cet accès, le fonctionnaire doit être en position d’activité dans son corps. </w:t>
      </w:r>
      <w:r w:rsidR="00634572" w:rsidRPr="007334A2">
        <w:t>Seuls les fonctionnaires</w:t>
      </w:r>
      <w:r w:rsidR="00634572">
        <w:t xml:space="preserve"> peuvent solliciter une période de professionnalisation pour accéder à un autre corps ou cadre d’emploi.</w:t>
      </w:r>
    </w:p>
    <w:p w14:paraId="59EF9D47" w14:textId="1EEF8579" w:rsidR="0002518E" w:rsidRPr="003A4D35" w:rsidRDefault="0002518E" w:rsidP="003A4D35">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t xml:space="preserve">Qui peut mobiliser </w:t>
      </w:r>
      <w:r w:rsidR="00D94CCC" w:rsidRPr="003A4D35">
        <w:rPr>
          <w:b/>
          <w:color w:val="538135" w:themeColor="accent6" w:themeShade="BF"/>
          <w:sz w:val="24"/>
          <w:szCs w:val="24"/>
        </w:rPr>
        <w:t>un</w:t>
      </w:r>
      <w:r w:rsidR="00D94CCC">
        <w:rPr>
          <w:b/>
          <w:color w:val="538135" w:themeColor="accent6" w:themeShade="BF"/>
          <w:sz w:val="24"/>
          <w:szCs w:val="24"/>
        </w:rPr>
        <w:t xml:space="preserve">e période de professionnalisation </w:t>
      </w:r>
      <w:r w:rsidRPr="003A4D35">
        <w:rPr>
          <w:b/>
          <w:color w:val="538135" w:themeColor="accent6" w:themeShade="BF"/>
          <w:sz w:val="24"/>
          <w:szCs w:val="24"/>
        </w:rPr>
        <w:t>?</w:t>
      </w:r>
    </w:p>
    <w:p w14:paraId="4569157C" w14:textId="05E07FF4" w:rsidR="00A919AD" w:rsidRDefault="00D017F9" w:rsidP="00A919AD">
      <w:pPr>
        <w:spacing w:before="120" w:after="0"/>
        <w:jc w:val="both"/>
      </w:pPr>
      <w:r>
        <w:t>Le fonctionnaire</w:t>
      </w:r>
      <w:r w:rsidR="00A919AD">
        <w:t xml:space="preserve"> peut bénéficier de périodes de professionnalisation comportant des actions de formation en alternance en vue de lui permettre : </w:t>
      </w:r>
    </w:p>
    <w:p w14:paraId="6B6A0ED6" w14:textId="51C8DDB7" w:rsidR="00A919AD" w:rsidRDefault="007334A2" w:rsidP="00D017F9">
      <w:pPr>
        <w:pStyle w:val="Paragraphedeliste"/>
        <w:numPr>
          <w:ilvl w:val="0"/>
          <w:numId w:val="17"/>
        </w:numPr>
        <w:spacing w:before="60" w:after="0"/>
        <w:ind w:left="714" w:hanging="357"/>
        <w:contextualSpacing w:val="0"/>
        <w:jc w:val="both"/>
      </w:pPr>
      <w:r>
        <w:t>s</w:t>
      </w:r>
      <w:r w:rsidR="00A919AD">
        <w:t>oit d’exercer une nouvelle fonction au sein d’un même corps ou cadre d’emplois ;</w:t>
      </w:r>
    </w:p>
    <w:p w14:paraId="5EC80AF2" w14:textId="4AF4B119" w:rsidR="00A919AD" w:rsidRDefault="007334A2" w:rsidP="00D017F9">
      <w:pPr>
        <w:pStyle w:val="Paragraphedeliste"/>
        <w:numPr>
          <w:ilvl w:val="0"/>
          <w:numId w:val="17"/>
        </w:numPr>
        <w:spacing w:before="60" w:after="0"/>
        <w:ind w:left="714" w:hanging="357"/>
        <w:contextualSpacing w:val="0"/>
        <w:jc w:val="both"/>
      </w:pPr>
      <w:r>
        <w:t>s</w:t>
      </w:r>
      <w:r w:rsidR="00A919AD">
        <w:t>oit d’accéder à un autre corps et cadre d’emplois.</w:t>
      </w:r>
    </w:p>
    <w:p w14:paraId="216C523F" w14:textId="039642AA" w:rsidR="00D94CCC" w:rsidRDefault="002677F5" w:rsidP="00D94CCC">
      <w:pPr>
        <w:spacing w:before="120" w:after="0"/>
        <w:jc w:val="both"/>
      </w:pPr>
      <w:r w:rsidRPr="003602CC">
        <w:rPr>
          <w:u w:val="single"/>
        </w:rPr>
        <w:t>Public cible</w:t>
      </w:r>
      <w:r w:rsidRPr="003602CC">
        <w:rPr>
          <w:b/>
        </w:rPr>
        <w:t> </w:t>
      </w:r>
      <w:r>
        <w:t xml:space="preserve">: </w:t>
      </w:r>
      <w:r w:rsidR="0002518E">
        <w:t xml:space="preserve">agent </w:t>
      </w:r>
      <w:r w:rsidR="006F3EC5">
        <w:t xml:space="preserve">notamment en instance d’affectation </w:t>
      </w:r>
      <w:r w:rsidR="0002518E">
        <w:t>qui</w:t>
      </w:r>
      <w:r w:rsidR="00D94CCC">
        <w:t xml:space="preserve"> </w:t>
      </w:r>
      <w:r w:rsidR="0002518E">
        <w:t xml:space="preserve">souhaite se réorienter et entamer une carrière dans un nouveau domaine de compétences </w:t>
      </w:r>
      <w:r w:rsidR="00C879CC">
        <w:t>ou environnement</w:t>
      </w:r>
      <w:r w:rsidR="00E57155">
        <w:t xml:space="preserve"> dans le secteur public</w:t>
      </w:r>
      <w:r w:rsidR="00C879CC">
        <w:t>.</w:t>
      </w:r>
      <w:r w:rsidR="0002518E">
        <w:t xml:space="preserve"> </w:t>
      </w:r>
    </w:p>
    <w:p w14:paraId="6017ADC2" w14:textId="4A57BC23" w:rsidR="0002518E" w:rsidRPr="003A4D35" w:rsidRDefault="0002518E" w:rsidP="003A4D35">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t xml:space="preserve">Comment mobiliser </w:t>
      </w:r>
      <w:r w:rsidR="00D94CCC" w:rsidRPr="003A4D35">
        <w:rPr>
          <w:b/>
          <w:color w:val="538135" w:themeColor="accent6" w:themeShade="BF"/>
          <w:sz w:val="24"/>
          <w:szCs w:val="24"/>
        </w:rPr>
        <w:t>un</w:t>
      </w:r>
      <w:r w:rsidR="00D94CCC">
        <w:rPr>
          <w:b/>
          <w:color w:val="538135" w:themeColor="accent6" w:themeShade="BF"/>
          <w:sz w:val="24"/>
          <w:szCs w:val="24"/>
        </w:rPr>
        <w:t xml:space="preserve">e période de professionnalisation </w:t>
      </w:r>
      <w:r w:rsidRPr="003A4D35">
        <w:rPr>
          <w:b/>
          <w:color w:val="538135" w:themeColor="accent6" w:themeShade="BF"/>
          <w:sz w:val="24"/>
          <w:szCs w:val="24"/>
        </w:rPr>
        <w:t>?</w:t>
      </w:r>
    </w:p>
    <w:p w14:paraId="7A21178E" w14:textId="77777777" w:rsidR="00D94CCC" w:rsidRDefault="00D94CCC" w:rsidP="00D94CCC">
      <w:pPr>
        <w:spacing w:before="120" w:after="0"/>
        <w:jc w:val="both"/>
      </w:pPr>
      <w:r>
        <w:t xml:space="preserve">La période de professionnalisation peut être mobilisée : </w:t>
      </w:r>
    </w:p>
    <w:p w14:paraId="6291A915" w14:textId="63FC416F" w:rsidR="00D94CCC" w:rsidRDefault="007334A2" w:rsidP="00D017F9">
      <w:pPr>
        <w:pStyle w:val="Paragraphedeliste"/>
        <w:numPr>
          <w:ilvl w:val="0"/>
          <w:numId w:val="13"/>
        </w:numPr>
        <w:spacing w:before="60" w:after="0"/>
        <w:ind w:left="714" w:hanging="357"/>
        <w:contextualSpacing w:val="0"/>
        <w:jc w:val="both"/>
      </w:pPr>
      <w:r>
        <w:t>s</w:t>
      </w:r>
      <w:r w:rsidR="00D94CCC">
        <w:t>oi</w:t>
      </w:r>
      <w:r>
        <w:t>t sur demande de l’agent public ;</w:t>
      </w:r>
    </w:p>
    <w:p w14:paraId="6826E9AB" w14:textId="424D9994" w:rsidR="006771ED" w:rsidRDefault="007334A2" w:rsidP="00D017F9">
      <w:pPr>
        <w:pStyle w:val="Paragraphedeliste"/>
        <w:numPr>
          <w:ilvl w:val="0"/>
          <w:numId w:val="13"/>
        </w:numPr>
        <w:spacing w:before="60" w:after="0"/>
        <w:ind w:left="714" w:hanging="357"/>
        <w:contextualSpacing w:val="0"/>
        <w:jc w:val="both"/>
      </w:pPr>
      <w:r>
        <w:t>s</w:t>
      </w:r>
      <w:r w:rsidR="00D94CCC">
        <w:t>oit à l’initiative de l’administration</w:t>
      </w:r>
      <w:r w:rsidR="003C0BBA">
        <w:t>.</w:t>
      </w:r>
    </w:p>
    <w:p w14:paraId="15629133" w14:textId="46A1B2DE" w:rsidR="00F16DD5" w:rsidRDefault="00F16DD5" w:rsidP="00D94CCC">
      <w:pPr>
        <w:spacing w:before="120" w:after="0"/>
        <w:jc w:val="both"/>
      </w:pPr>
      <w:r>
        <w:lastRenderedPageBreak/>
        <w:t>Ce di</w:t>
      </w:r>
      <w:r w:rsidR="00E57155">
        <w:t>spositif implique trois entités :</w:t>
      </w:r>
      <w:r>
        <w:t xml:space="preserve"> l’agent, l’administration d’emploi et l’administration d’accueil.</w:t>
      </w:r>
      <w:r w:rsidR="00835611">
        <w:t xml:space="preserve"> Aussi</w:t>
      </w:r>
      <w:r w:rsidR="004D2948">
        <w:t>,</w:t>
      </w:r>
      <w:r w:rsidR="00835611">
        <w:t xml:space="preserve"> il est nécessaire de </w:t>
      </w:r>
      <w:r w:rsidR="004D2948">
        <w:t>construire</w:t>
      </w:r>
      <w:r w:rsidR="00835611">
        <w:t xml:space="preserve"> suffisamment à l’avance sa période de professionnalisation : l’agent doit trouver l’administration d’accueil et identifier les actions de formation nécessaires pour mener à bien cette période de professionnalisation. </w:t>
      </w:r>
    </w:p>
    <w:p w14:paraId="41F97BA1" w14:textId="54901A08" w:rsidR="00835611" w:rsidRDefault="00835611" w:rsidP="00D94CCC">
      <w:pPr>
        <w:spacing w:before="120" w:after="0"/>
        <w:jc w:val="both"/>
      </w:pPr>
      <w:r>
        <w:t xml:space="preserve">Si l’agent a besoin de compléter par des actions de formation qui ne sont pas </w:t>
      </w:r>
      <w:r w:rsidR="004D2948">
        <w:t xml:space="preserve">inscrites </w:t>
      </w:r>
      <w:r>
        <w:t>aux plans de formation des administrations intéressées, il peut demander à mobiliser son compte personnel de formation</w:t>
      </w:r>
      <w:r w:rsidR="004D2948">
        <w:t xml:space="preserve"> </w:t>
      </w:r>
      <w:r w:rsidR="007334A2">
        <w:t>(CPF)</w:t>
      </w:r>
      <w:r w:rsidR="007334A2">
        <w:rPr>
          <w:rStyle w:val="Appelnotedebasdep"/>
        </w:rPr>
        <w:footnoteReference w:id="1"/>
      </w:r>
      <w:r>
        <w:t>.</w:t>
      </w:r>
    </w:p>
    <w:p w14:paraId="6CD29331" w14:textId="1BFC5A65" w:rsidR="00835611" w:rsidRDefault="006F3EC5" w:rsidP="00D94CCC">
      <w:pPr>
        <w:spacing w:before="120" w:after="0"/>
        <w:jc w:val="both"/>
      </w:pPr>
      <w:r>
        <w:t xml:space="preserve">Un échange avec l’IGAPS référent de l’agent doit être effectué préalablement avant le dépôt de la demande afin de s’assurer que le dispositif répond au besoin et projet professionnel de l’agent. </w:t>
      </w:r>
      <w:r w:rsidR="00835611">
        <w:t>Une fois que le projet est suffisamment concrétisé, l’agent doit saisir son chef de service qui doit faire connaitre à l’intéressé dans un délai de deux</w:t>
      </w:r>
      <w:r w:rsidR="004D2948">
        <w:t xml:space="preserve"> mois l’acceptation </w:t>
      </w:r>
      <w:r w:rsidR="00835611">
        <w:t xml:space="preserve">ou le rejet de </w:t>
      </w:r>
      <w:r w:rsidR="004D2948">
        <w:t>la demande</w:t>
      </w:r>
      <w:r w:rsidR="00835611">
        <w:t xml:space="preserve">. </w:t>
      </w:r>
    </w:p>
    <w:p w14:paraId="19C7B027" w14:textId="6A0ABA98" w:rsidR="00DB5E01" w:rsidRPr="00890555" w:rsidRDefault="00DB5E01" w:rsidP="00DB5E01">
      <w:pPr>
        <w:spacing w:before="120" w:after="0"/>
        <w:jc w:val="center"/>
        <w:rPr>
          <w:highlight w:val="green"/>
        </w:rPr>
      </w:pPr>
      <w:r w:rsidRPr="00146FD5">
        <w:rPr>
          <w:highlight w:val="green"/>
        </w:rPr>
        <w:t xml:space="preserve">Formulaire de </w:t>
      </w:r>
      <w:r w:rsidRPr="00DB5E01">
        <w:rPr>
          <w:highlight w:val="green"/>
        </w:rPr>
        <w:t xml:space="preserve">demande de </w:t>
      </w:r>
      <w:r>
        <w:rPr>
          <w:highlight w:val="green"/>
        </w:rPr>
        <w:t xml:space="preserve">mobilisation d’une </w:t>
      </w:r>
      <w:r w:rsidRPr="00DB5E01">
        <w:rPr>
          <w:highlight w:val="green"/>
        </w:rPr>
        <w:t>période de professionnalisation</w:t>
      </w:r>
      <w:r w:rsidR="00905ED7" w:rsidRPr="00890555">
        <w:rPr>
          <w:highlight w:val="green"/>
        </w:rPr>
        <w:t xml:space="preserve"> disponible sur le site FormCo</w:t>
      </w:r>
      <w:r w:rsidR="00C11F05">
        <w:rPr>
          <w:rStyle w:val="Appelnotedebasdep"/>
          <w:highlight w:val="green"/>
        </w:rPr>
        <w:footnoteReference w:id="2"/>
      </w:r>
    </w:p>
    <w:p w14:paraId="171CDE40" w14:textId="69B584DF" w:rsidR="00AE3D39" w:rsidRPr="003A4D35" w:rsidRDefault="00AE3D39" w:rsidP="003A4D35">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t xml:space="preserve">Comment se déroule </w:t>
      </w:r>
      <w:r w:rsidR="00D94CCC" w:rsidRPr="003A4D35">
        <w:rPr>
          <w:b/>
          <w:color w:val="538135" w:themeColor="accent6" w:themeShade="BF"/>
          <w:sz w:val="24"/>
          <w:szCs w:val="24"/>
        </w:rPr>
        <w:t>un</w:t>
      </w:r>
      <w:r w:rsidR="00D94CCC">
        <w:rPr>
          <w:b/>
          <w:color w:val="538135" w:themeColor="accent6" w:themeShade="BF"/>
          <w:sz w:val="24"/>
          <w:szCs w:val="24"/>
        </w:rPr>
        <w:t xml:space="preserve">e période de professionnalisation </w:t>
      </w:r>
      <w:r w:rsidRPr="003A4D35">
        <w:rPr>
          <w:b/>
          <w:color w:val="538135" w:themeColor="accent6" w:themeShade="BF"/>
          <w:sz w:val="24"/>
          <w:szCs w:val="24"/>
        </w:rPr>
        <w:t>?</w:t>
      </w:r>
    </w:p>
    <w:p w14:paraId="41642E2D" w14:textId="77777777" w:rsidR="00D94CCC" w:rsidRDefault="00D94CCC" w:rsidP="00D94CCC">
      <w:pPr>
        <w:spacing w:before="120" w:after="0"/>
        <w:jc w:val="both"/>
      </w:pPr>
      <w:r>
        <w:t xml:space="preserve">L’agent est en position d’activité dans son corps d’origine. </w:t>
      </w:r>
    </w:p>
    <w:p w14:paraId="26A14788" w14:textId="329AC5FA" w:rsidR="00D94CCC" w:rsidRPr="00D94CCC" w:rsidRDefault="00D94CCC" w:rsidP="00D94CCC">
      <w:pPr>
        <w:spacing w:before="120" w:after="0"/>
        <w:jc w:val="both"/>
      </w:pPr>
      <w:r w:rsidRPr="00D94CCC">
        <w:t>Les actions de formation incluses dans la période de professionnalisation peuvent se dérouler tout ou partie hors du temps de service et s’imputer sur le CPF, après accord écrit de l’agent dans l’hypothèse où l’administration est à l’initiative de la demande.</w:t>
      </w:r>
    </w:p>
    <w:p w14:paraId="210763B1" w14:textId="6C105170" w:rsidR="00BB6C15" w:rsidRPr="003A4D35" w:rsidRDefault="00BB6C15" w:rsidP="00BB6C15">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Pr>
          <w:b/>
          <w:color w:val="538135" w:themeColor="accent6" w:themeShade="BF"/>
          <w:sz w:val="24"/>
          <w:szCs w:val="24"/>
        </w:rPr>
        <w:t>Pour aller plus loin…</w:t>
      </w:r>
    </w:p>
    <w:p w14:paraId="1E1964A8" w14:textId="715E4020" w:rsidR="00BB6C15" w:rsidRDefault="00BB6C15" w:rsidP="00BB6C15">
      <w:pPr>
        <w:pStyle w:val="Paragraphedeliste"/>
        <w:numPr>
          <w:ilvl w:val="0"/>
          <w:numId w:val="14"/>
        </w:numPr>
        <w:spacing w:before="120" w:after="0"/>
        <w:ind w:left="426" w:hanging="357"/>
        <w:contextualSpacing w:val="0"/>
        <w:jc w:val="both"/>
      </w:pPr>
      <w:r>
        <w:t>Article</w:t>
      </w:r>
      <w:r w:rsidR="00653ED7">
        <w:t>s</w:t>
      </w:r>
      <w:r>
        <w:t xml:space="preserve"> </w:t>
      </w:r>
      <w:r w:rsidR="00653ED7">
        <w:t>L</w:t>
      </w:r>
      <w:r w:rsidR="00E57155">
        <w:t xml:space="preserve">. </w:t>
      </w:r>
      <w:r w:rsidR="00A919AD">
        <w:t>422-2</w:t>
      </w:r>
      <w:r w:rsidR="00653ED7">
        <w:t xml:space="preserve"> et suivants du code général de la fonction publique </w:t>
      </w:r>
      <w:r>
        <w:t>;</w:t>
      </w:r>
    </w:p>
    <w:p w14:paraId="1724EB87" w14:textId="6E10558D" w:rsidR="00BB6C15" w:rsidRDefault="003C0BBA" w:rsidP="00BB6C15">
      <w:pPr>
        <w:pStyle w:val="Paragraphedeliste"/>
        <w:numPr>
          <w:ilvl w:val="0"/>
          <w:numId w:val="14"/>
        </w:numPr>
        <w:spacing w:before="120" w:after="0"/>
        <w:ind w:left="426" w:hanging="357"/>
        <w:contextualSpacing w:val="0"/>
        <w:jc w:val="both"/>
      </w:pPr>
      <w:r>
        <w:t xml:space="preserve">Articles 15 et suivants </w:t>
      </w:r>
      <w:r w:rsidR="00BB6C15">
        <w:t>du décret n°2007-1470 du 15 octobre 2007 modifié relatif à la formation professionnelle tout au long de la vie des fonctionnaires de l’</w:t>
      </w:r>
      <w:r w:rsidR="00B11E92">
        <w:t>É</w:t>
      </w:r>
      <w:r w:rsidR="00BB6C15">
        <w:t>tat ;</w:t>
      </w:r>
    </w:p>
    <w:p w14:paraId="7E6C4B58" w14:textId="77777777" w:rsidR="00BB6C15" w:rsidRDefault="00BB6C15" w:rsidP="00BB6C15">
      <w:pPr>
        <w:pStyle w:val="Paragraphedeliste"/>
        <w:numPr>
          <w:ilvl w:val="0"/>
          <w:numId w:val="14"/>
        </w:numPr>
        <w:spacing w:before="120" w:after="0"/>
        <w:ind w:left="426" w:hanging="357"/>
        <w:contextualSpacing w:val="0"/>
        <w:jc w:val="both"/>
      </w:pPr>
      <w:r>
        <w:t>Article 8 du décret n°2007-1942 du 26 décembre 2007 relatif à la formation professionnelle des agents non titulaires de l’Etat […] ;</w:t>
      </w:r>
    </w:p>
    <w:p w14:paraId="5D1E61CD" w14:textId="0AEF96FE" w:rsidR="000D3198" w:rsidRDefault="00BB6C15" w:rsidP="000D3198">
      <w:pPr>
        <w:pStyle w:val="Paragraphedeliste"/>
        <w:numPr>
          <w:ilvl w:val="0"/>
          <w:numId w:val="14"/>
        </w:numPr>
        <w:spacing w:before="120" w:after="0"/>
        <w:ind w:left="426" w:hanging="357"/>
        <w:contextualSpacing w:val="0"/>
        <w:jc w:val="both"/>
      </w:pPr>
      <w:r>
        <w:t>Article 1, 8° de l’arrêté du 29 décembre 2016 portant déconcentration des actes relatifs à la situation individuelle des agents publics exerçant leurs fonctions dans les services déconcentrés des administrations civiles de l'</w:t>
      </w:r>
      <w:r w:rsidR="00B11E92">
        <w:t>É</w:t>
      </w:r>
      <w:r>
        <w:t>tat […].</w:t>
      </w:r>
    </w:p>
    <w:p w14:paraId="24803E9B" w14:textId="22FF2302" w:rsidR="00B9346B" w:rsidRDefault="00D654EE" w:rsidP="00B9346B">
      <w:pPr>
        <w:pStyle w:val="Paragraphedeliste"/>
        <w:spacing w:before="120" w:after="0"/>
        <w:ind w:left="426"/>
        <w:contextualSpacing w:val="0"/>
        <w:jc w:val="both"/>
      </w:pPr>
      <w:r>
        <w:rPr>
          <w:noProof/>
          <w:lang w:eastAsia="fr-FR"/>
        </w:rPr>
        <mc:AlternateContent>
          <mc:Choice Requires="wps">
            <w:drawing>
              <wp:anchor distT="0" distB="0" distL="114300" distR="114300" simplePos="0" relativeHeight="251659264" behindDoc="0" locked="0" layoutInCell="1" allowOverlap="1" wp14:anchorId="643E7B36" wp14:editId="042294A1">
                <wp:simplePos x="0" y="0"/>
                <wp:positionH relativeFrom="margin">
                  <wp:align>left</wp:align>
                </wp:positionH>
                <wp:positionV relativeFrom="paragraph">
                  <wp:posOffset>260350</wp:posOffset>
                </wp:positionV>
                <wp:extent cx="5743575" cy="419100"/>
                <wp:effectExtent l="0" t="0" r="28575" b="76200"/>
                <wp:wrapNone/>
                <wp:docPr id="4" name="Rectangle 4"/>
                <wp:cNvGraphicFramePr/>
                <a:graphic xmlns:a="http://schemas.openxmlformats.org/drawingml/2006/main">
                  <a:graphicData uri="http://schemas.microsoft.com/office/word/2010/wordprocessingShape">
                    <wps:wsp>
                      <wps:cNvSpPr/>
                      <wps:spPr>
                        <a:xfrm>
                          <a:off x="0" y="0"/>
                          <a:ext cx="5743575" cy="419100"/>
                        </a:xfrm>
                        <a:prstGeom prst="wedgeRectCallout">
                          <a:avLst/>
                        </a:prstGeom>
                        <a:solidFill>
                          <a:sysClr val="window" lastClr="FFFFFF"/>
                        </a:solidFill>
                        <a:ln w="19050" cap="flat" cmpd="sng" algn="ctr">
                          <a:solidFill>
                            <a:srgbClr val="70AD47">
                              <a:lumMod val="75000"/>
                            </a:srgbClr>
                          </a:solidFill>
                          <a:prstDash val="solid"/>
                          <a:miter lim="800000"/>
                        </a:ln>
                        <a:effectLst/>
                      </wps:spPr>
                      <wps:txbx>
                        <w:txbxContent>
                          <w:p w14:paraId="3F41A368" w14:textId="20B4A053" w:rsidR="00B9346B" w:rsidRDefault="0043108B" w:rsidP="00B9346B">
                            <w:pPr>
                              <w:rPr>
                                <w:b/>
                                <w:color w:val="538135" w:themeColor="accent6" w:themeShade="BF"/>
                                <w:sz w:val="24"/>
                                <w:szCs w:val="24"/>
                              </w:rPr>
                            </w:pPr>
                            <w:r>
                              <w:rPr>
                                <w:b/>
                                <w:color w:val="538135" w:themeColor="accent6" w:themeShade="BF"/>
                                <w:sz w:val="24"/>
                                <w:szCs w:val="24"/>
                              </w:rPr>
                              <w:t>EXEMPLE</w:t>
                            </w:r>
                            <w:r w:rsidR="00B9346B">
                              <w:rPr>
                                <w:b/>
                                <w:color w:val="538135" w:themeColor="accent6" w:themeShade="BF"/>
                                <w:sz w:val="24"/>
                                <w:szCs w:val="24"/>
                              </w:rPr>
                              <w:t xml:space="preserve"> DE MOBILISATION </w:t>
                            </w:r>
                            <w:r>
                              <w:rPr>
                                <w:b/>
                                <w:color w:val="538135" w:themeColor="accent6" w:themeShade="BF"/>
                                <w:sz w:val="24"/>
                                <w:szCs w:val="24"/>
                              </w:rPr>
                              <w:t>DE LA PÉRIODE DE PROFESSIONNALISATION P</w:t>
                            </w:r>
                            <w:r w:rsidR="00B9346B">
                              <w:rPr>
                                <w:b/>
                                <w:color w:val="538135" w:themeColor="accent6" w:themeShade="BF"/>
                                <w:sz w:val="24"/>
                                <w:szCs w:val="24"/>
                              </w:rPr>
                              <w:t>AR...</w:t>
                            </w:r>
                          </w:p>
                          <w:p w14:paraId="5426AEF0" w14:textId="77777777" w:rsidR="00B9346B" w:rsidRPr="0094359B" w:rsidRDefault="00B9346B" w:rsidP="00B9346B">
                            <w:pPr>
                              <w:rPr>
                                <w:b/>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E7B3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4" o:spid="_x0000_s1026" type="#_x0000_t61" style="position:absolute;left:0;text-align:left;margin-left:0;margin-top:20.5pt;width:452.25pt;height: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" adj="6300,24300" fillcolor="window" strokecolor="#548235" strokeweight="1.5pt">
                <v:textbox>
                  <w:txbxContent>
                    <w:p w14:paraId="3F41A368" w14:textId="20B4A053" w:rsidR="00B9346B" w:rsidRDefault="0043108B" w:rsidP="00B9346B">
                      <w:pPr>
                        <w:rPr>
                          <w:b/>
                          <w:color w:val="538135" w:themeColor="accent6" w:themeShade="BF"/>
                          <w:sz w:val="24"/>
                          <w:szCs w:val="24"/>
                        </w:rPr>
                      </w:pPr>
                      <w:r>
                        <w:rPr>
                          <w:b/>
                          <w:color w:val="538135" w:themeColor="accent6" w:themeShade="BF"/>
                          <w:sz w:val="24"/>
                          <w:szCs w:val="24"/>
                        </w:rPr>
                        <w:t>EXEMPLE</w:t>
                      </w:r>
                      <w:r w:rsidR="00B9346B">
                        <w:rPr>
                          <w:b/>
                          <w:color w:val="538135" w:themeColor="accent6" w:themeShade="BF"/>
                          <w:sz w:val="24"/>
                          <w:szCs w:val="24"/>
                        </w:rPr>
                        <w:t xml:space="preserve"> DE MOBILISATION </w:t>
                      </w:r>
                      <w:r>
                        <w:rPr>
                          <w:b/>
                          <w:color w:val="538135" w:themeColor="accent6" w:themeShade="BF"/>
                          <w:sz w:val="24"/>
                          <w:szCs w:val="24"/>
                        </w:rPr>
                        <w:t>DE LA PÉRIODE DE PROFESSIONNALISATION P</w:t>
                      </w:r>
                      <w:r w:rsidR="00B9346B">
                        <w:rPr>
                          <w:b/>
                          <w:color w:val="538135" w:themeColor="accent6" w:themeShade="BF"/>
                          <w:sz w:val="24"/>
                          <w:szCs w:val="24"/>
                        </w:rPr>
                        <w:t>AR...</w:t>
                      </w:r>
                    </w:p>
                    <w:p w14:paraId="5426AEF0" w14:textId="77777777" w:rsidR="00B9346B" w:rsidRPr="0094359B" w:rsidRDefault="00B9346B" w:rsidP="00B9346B">
                      <w:pPr>
                        <w:rPr>
                          <w:b/>
                          <w:color w:val="538135" w:themeColor="accent6" w:themeShade="BF"/>
                          <w:sz w:val="24"/>
                          <w:szCs w:val="24"/>
                        </w:rPr>
                      </w:pPr>
                    </w:p>
                  </w:txbxContent>
                </v:textbox>
                <w10:wrap anchorx="margin"/>
              </v:shape>
            </w:pict>
          </mc:Fallback>
        </mc:AlternateContent>
      </w:r>
    </w:p>
    <w:p w14:paraId="33BE12BC" w14:textId="59B58012" w:rsidR="00B9346B" w:rsidRDefault="00B9346B" w:rsidP="00B9346B">
      <w:pPr>
        <w:pStyle w:val="Titre1"/>
        <w:rPr>
          <w:rFonts w:asciiTheme="minorHAnsi" w:hAnsiTheme="minorHAnsi" w:cstheme="minorHAnsi"/>
          <w:b w:val="0"/>
          <w:sz w:val="24"/>
          <w:szCs w:val="24"/>
        </w:rPr>
      </w:pPr>
    </w:p>
    <w:p w14:paraId="67900743" w14:textId="6E0F0ACE" w:rsidR="00B9346B" w:rsidRPr="00011395" w:rsidRDefault="00B9346B" w:rsidP="00B9346B">
      <w:pPr>
        <w:spacing w:before="360" w:after="180"/>
        <w:jc w:val="both"/>
        <w:rPr>
          <w:sz w:val="24"/>
          <w:szCs w:val="24"/>
        </w:rPr>
      </w:pPr>
      <w:r w:rsidRPr="00B9346B">
        <w:rPr>
          <w:sz w:val="24"/>
          <w:szCs w:val="24"/>
        </w:rPr>
        <w:t xml:space="preserve">Un </w:t>
      </w:r>
      <w:r>
        <w:rPr>
          <w:sz w:val="24"/>
          <w:szCs w:val="24"/>
        </w:rPr>
        <w:t>t</w:t>
      </w:r>
      <w:r w:rsidRPr="00B9346B">
        <w:rPr>
          <w:sz w:val="24"/>
          <w:szCs w:val="24"/>
        </w:rPr>
        <w:t xml:space="preserve">echnicien </w:t>
      </w:r>
      <w:r>
        <w:rPr>
          <w:sz w:val="24"/>
          <w:szCs w:val="24"/>
        </w:rPr>
        <w:t>f</w:t>
      </w:r>
      <w:r w:rsidRPr="00B9346B">
        <w:rPr>
          <w:sz w:val="24"/>
          <w:szCs w:val="24"/>
        </w:rPr>
        <w:t xml:space="preserve">ormation </w:t>
      </w:r>
      <w:r>
        <w:rPr>
          <w:sz w:val="24"/>
          <w:szCs w:val="24"/>
        </w:rPr>
        <w:t>r</w:t>
      </w:r>
      <w:r w:rsidRPr="00B9346B">
        <w:rPr>
          <w:sz w:val="24"/>
          <w:szCs w:val="24"/>
        </w:rPr>
        <w:t>echerche</w:t>
      </w:r>
      <w:r w:rsidRPr="00B9346B">
        <w:rPr>
          <w:rFonts w:cstheme="minorHAnsi"/>
          <w:b/>
        </w:rPr>
        <w:t xml:space="preserve"> </w:t>
      </w:r>
      <w:r w:rsidRPr="00B9346B">
        <w:rPr>
          <w:sz w:val="24"/>
          <w:szCs w:val="24"/>
        </w:rPr>
        <w:t xml:space="preserve">Laboratoire en EPLEFPA a entamé une démarche de reconversion professionnelle vers les métiers de la comptabilité. Après avoir suivi une première formation aux bases de la comptabilité publique, il demande une période de professionnalisation de 6 mois dans le service comptable d'une collectivité territoriale. </w:t>
      </w:r>
      <w:r w:rsidRPr="00B9346B">
        <w:rPr>
          <w:sz w:val="24"/>
          <w:szCs w:val="24"/>
        </w:rPr>
        <w:lastRenderedPageBreak/>
        <w:t>Pendant cette période, il a</w:t>
      </w:r>
      <w:r>
        <w:rPr>
          <w:sz w:val="24"/>
          <w:szCs w:val="24"/>
        </w:rPr>
        <w:t>ura</w:t>
      </w:r>
      <w:r w:rsidRPr="00B9346B">
        <w:rPr>
          <w:sz w:val="24"/>
          <w:szCs w:val="24"/>
        </w:rPr>
        <w:t xml:space="preserve"> accès au catalogue de formation</w:t>
      </w:r>
      <w:r w:rsidRPr="00B9346B">
        <w:rPr>
          <w:b/>
          <w:sz w:val="24"/>
          <w:szCs w:val="24"/>
        </w:rPr>
        <w:t xml:space="preserve"> </w:t>
      </w:r>
      <w:r>
        <w:rPr>
          <w:sz w:val="24"/>
          <w:szCs w:val="24"/>
        </w:rPr>
        <w:t>de la collectivité</w:t>
      </w:r>
      <w:r w:rsidRPr="00B9346B">
        <w:rPr>
          <w:sz w:val="24"/>
          <w:szCs w:val="24"/>
        </w:rPr>
        <w:t>. Au bout de ces 6 mois, il aura la possibilité de demander un détachement dans ce service.</w:t>
      </w:r>
    </w:p>
    <w:sectPr w:rsidR="00B9346B" w:rsidRPr="0001139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7895A" w14:textId="77777777" w:rsidR="0002518E" w:rsidRDefault="0002518E" w:rsidP="0002518E">
      <w:pPr>
        <w:spacing w:after="0" w:line="240" w:lineRule="auto"/>
      </w:pPr>
      <w:r>
        <w:separator/>
      </w:r>
    </w:p>
  </w:endnote>
  <w:endnote w:type="continuationSeparator" w:id="0">
    <w:p w14:paraId="74614E37" w14:textId="77777777" w:rsidR="0002518E" w:rsidRDefault="0002518E" w:rsidP="0002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7E58" w14:textId="77777777" w:rsidR="00D654EE" w:rsidRDefault="00D654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557059"/>
      <w:docPartObj>
        <w:docPartGallery w:val="Page Numbers (Bottom of Page)"/>
        <w:docPartUnique/>
      </w:docPartObj>
    </w:sdtPr>
    <w:sdtEndPr/>
    <w:sdtContent>
      <w:sdt>
        <w:sdtPr>
          <w:id w:val="-1769616900"/>
          <w:docPartObj>
            <w:docPartGallery w:val="Page Numbers (Top of Page)"/>
            <w:docPartUnique/>
          </w:docPartObj>
        </w:sdtPr>
        <w:sdtEndPr/>
        <w:sdtContent>
          <w:p w14:paraId="20266D36" w14:textId="14D8803B" w:rsidR="007334A2" w:rsidRDefault="007334A2">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C11F05">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C11F05">
              <w:rPr>
                <w:b/>
                <w:bCs/>
                <w:noProof/>
              </w:rPr>
              <w:t>3</w:t>
            </w:r>
            <w:r>
              <w:rPr>
                <w:b/>
                <w:bCs/>
                <w:sz w:val="24"/>
                <w:szCs w:val="24"/>
              </w:rPr>
              <w:fldChar w:fldCharType="end"/>
            </w:r>
          </w:p>
        </w:sdtContent>
      </w:sdt>
    </w:sdtContent>
  </w:sdt>
  <w:p w14:paraId="611E6C47" w14:textId="77777777" w:rsidR="007334A2" w:rsidRDefault="007334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35881" w14:textId="77777777" w:rsidR="00D654EE" w:rsidRDefault="00D6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CB4" w14:textId="77777777" w:rsidR="0002518E" w:rsidRDefault="0002518E" w:rsidP="0002518E">
      <w:pPr>
        <w:spacing w:after="0" w:line="240" w:lineRule="auto"/>
      </w:pPr>
      <w:r>
        <w:separator/>
      </w:r>
    </w:p>
  </w:footnote>
  <w:footnote w:type="continuationSeparator" w:id="0">
    <w:p w14:paraId="7BF5E58A" w14:textId="77777777" w:rsidR="0002518E" w:rsidRDefault="0002518E" w:rsidP="0002518E">
      <w:pPr>
        <w:spacing w:after="0" w:line="240" w:lineRule="auto"/>
      </w:pPr>
      <w:r>
        <w:continuationSeparator/>
      </w:r>
    </w:p>
  </w:footnote>
  <w:footnote w:id="1">
    <w:p w14:paraId="374379CD" w14:textId="3B440255" w:rsidR="007334A2" w:rsidRDefault="007334A2">
      <w:pPr>
        <w:pStyle w:val="Notedebasdepage"/>
      </w:pPr>
      <w:r>
        <w:rPr>
          <w:rStyle w:val="Appelnotedebasdep"/>
        </w:rPr>
        <w:footnoteRef/>
      </w:r>
      <w:r>
        <w:t xml:space="preserve"> Fiche </w:t>
      </w:r>
      <w:r w:rsidR="00B9346B">
        <w:t>n</w:t>
      </w:r>
      <w:r>
        <w:t>°8 – Compte personnel de formation</w:t>
      </w:r>
    </w:p>
  </w:footnote>
  <w:footnote w:id="2">
    <w:p w14:paraId="38A55587" w14:textId="0FCF5495" w:rsidR="00C11F05" w:rsidRDefault="00C11F05">
      <w:pPr>
        <w:pStyle w:val="Notedebasdepage"/>
      </w:pPr>
      <w:r>
        <w:rPr>
          <w:rStyle w:val="Appelnotedebasdep"/>
        </w:rPr>
        <w:footnoteRef/>
      </w:r>
      <w:r>
        <w:t xml:space="preserve"> </w:t>
      </w:r>
      <w:hyperlink r:id="rId1" w:history="1">
        <w:r w:rsidRPr="00C11F05">
          <w:rPr>
            <w:rStyle w:val="Lienhypertexte"/>
          </w:rPr>
          <w:t>https://formco.agriculture.gouv.fr</w:t>
        </w:r>
      </w:hyperlink>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B37E" w14:textId="69DD5E63" w:rsidR="00D654EE" w:rsidRDefault="00D654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0C737" w14:textId="6C7AF56C" w:rsidR="00D654EE" w:rsidRDefault="00D654E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C5056" w14:textId="430675AE" w:rsidR="00D654EE" w:rsidRDefault="00D654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3C9"/>
    <w:multiLevelType w:val="hybridMultilevel"/>
    <w:tmpl w:val="8F308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04E61"/>
    <w:multiLevelType w:val="hybridMultilevel"/>
    <w:tmpl w:val="5BE49B86"/>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0262F"/>
    <w:multiLevelType w:val="hybridMultilevel"/>
    <w:tmpl w:val="24AAFD0C"/>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35828"/>
    <w:multiLevelType w:val="hybridMultilevel"/>
    <w:tmpl w:val="7E46A87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AD3AC2"/>
    <w:multiLevelType w:val="hybridMultilevel"/>
    <w:tmpl w:val="DE6ED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43141E"/>
    <w:multiLevelType w:val="hybridMultilevel"/>
    <w:tmpl w:val="116CD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A22EF"/>
    <w:multiLevelType w:val="hybridMultilevel"/>
    <w:tmpl w:val="DDFEF9F6"/>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6C6200"/>
    <w:multiLevelType w:val="hybridMultilevel"/>
    <w:tmpl w:val="A57C0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995D1D"/>
    <w:multiLevelType w:val="hybridMultilevel"/>
    <w:tmpl w:val="ECA05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17430F"/>
    <w:multiLevelType w:val="hybridMultilevel"/>
    <w:tmpl w:val="9AD2D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865832"/>
    <w:multiLevelType w:val="hybridMultilevel"/>
    <w:tmpl w:val="3A867B22"/>
    <w:lvl w:ilvl="0" w:tplc="E8DE234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3479AC"/>
    <w:multiLevelType w:val="hybridMultilevel"/>
    <w:tmpl w:val="FACAA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27382D"/>
    <w:multiLevelType w:val="hybridMultilevel"/>
    <w:tmpl w:val="AAE228B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CC551F"/>
    <w:multiLevelType w:val="hybridMultilevel"/>
    <w:tmpl w:val="76260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F06192"/>
    <w:multiLevelType w:val="hybridMultilevel"/>
    <w:tmpl w:val="C35E7C70"/>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530B65"/>
    <w:multiLevelType w:val="hybridMultilevel"/>
    <w:tmpl w:val="A8984E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1DE18F6"/>
    <w:multiLevelType w:val="hybridMultilevel"/>
    <w:tmpl w:val="AEAA4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
  </w:num>
  <w:num w:numId="4">
    <w:abstractNumId w:val="4"/>
  </w:num>
  <w:num w:numId="5">
    <w:abstractNumId w:val="8"/>
  </w:num>
  <w:num w:numId="6">
    <w:abstractNumId w:val="10"/>
  </w:num>
  <w:num w:numId="7">
    <w:abstractNumId w:val="15"/>
  </w:num>
  <w:num w:numId="8">
    <w:abstractNumId w:val="12"/>
  </w:num>
  <w:num w:numId="9">
    <w:abstractNumId w:val="3"/>
  </w:num>
  <w:num w:numId="10">
    <w:abstractNumId w:val="0"/>
  </w:num>
  <w:num w:numId="11">
    <w:abstractNumId w:val="13"/>
  </w:num>
  <w:num w:numId="12">
    <w:abstractNumId w:val="2"/>
  </w:num>
  <w:num w:numId="13">
    <w:abstractNumId w:val="14"/>
  </w:num>
  <w:num w:numId="14">
    <w:abstractNumId w:val="6"/>
  </w:num>
  <w:num w:numId="15">
    <w:abstractNumId w:val="11"/>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1E"/>
    <w:rsid w:val="00011395"/>
    <w:rsid w:val="0002518E"/>
    <w:rsid w:val="000406D5"/>
    <w:rsid w:val="000A591E"/>
    <w:rsid w:val="000D3198"/>
    <w:rsid w:val="000D3771"/>
    <w:rsid w:val="001D615E"/>
    <w:rsid w:val="0026711D"/>
    <w:rsid w:val="002677F5"/>
    <w:rsid w:val="002922B0"/>
    <w:rsid w:val="002E2DB6"/>
    <w:rsid w:val="00314A9C"/>
    <w:rsid w:val="003602CC"/>
    <w:rsid w:val="00392450"/>
    <w:rsid w:val="003A1B74"/>
    <w:rsid w:val="003A4D35"/>
    <w:rsid w:val="003C0BBA"/>
    <w:rsid w:val="003C6B3B"/>
    <w:rsid w:val="003E14C2"/>
    <w:rsid w:val="00421BD6"/>
    <w:rsid w:val="0043108B"/>
    <w:rsid w:val="00486F07"/>
    <w:rsid w:val="004A4D15"/>
    <w:rsid w:val="004D2948"/>
    <w:rsid w:val="004D3BB9"/>
    <w:rsid w:val="005847D8"/>
    <w:rsid w:val="005A4951"/>
    <w:rsid w:val="005E4BD6"/>
    <w:rsid w:val="00602845"/>
    <w:rsid w:val="00624F51"/>
    <w:rsid w:val="00634572"/>
    <w:rsid w:val="00653ED7"/>
    <w:rsid w:val="00654473"/>
    <w:rsid w:val="006771ED"/>
    <w:rsid w:val="006E1FA2"/>
    <w:rsid w:val="006E3CA0"/>
    <w:rsid w:val="006F3EC5"/>
    <w:rsid w:val="007268EE"/>
    <w:rsid w:val="007334A2"/>
    <w:rsid w:val="007771E7"/>
    <w:rsid w:val="007C749B"/>
    <w:rsid w:val="0081209C"/>
    <w:rsid w:val="008267B7"/>
    <w:rsid w:val="00835611"/>
    <w:rsid w:val="00854D57"/>
    <w:rsid w:val="00890555"/>
    <w:rsid w:val="00905ED7"/>
    <w:rsid w:val="00916CFE"/>
    <w:rsid w:val="00986F2A"/>
    <w:rsid w:val="009902E6"/>
    <w:rsid w:val="00996969"/>
    <w:rsid w:val="009E37DC"/>
    <w:rsid w:val="00A044DE"/>
    <w:rsid w:val="00A16F4E"/>
    <w:rsid w:val="00A850D7"/>
    <w:rsid w:val="00A919AD"/>
    <w:rsid w:val="00AE3D39"/>
    <w:rsid w:val="00B11E92"/>
    <w:rsid w:val="00B2553B"/>
    <w:rsid w:val="00B524F0"/>
    <w:rsid w:val="00B85C56"/>
    <w:rsid w:val="00B86A1A"/>
    <w:rsid w:val="00B90949"/>
    <w:rsid w:val="00B9346B"/>
    <w:rsid w:val="00BB6C15"/>
    <w:rsid w:val="00BC6327"/>
    <w:rsid w:val="00C11F05"/>
    <w:rsid w:val="00C879CC"/>
    <w:rsid w:val="00CB65A8"/>
    <w:rsid w:val="00D017F9"/>
    <w:rsid w:val="00D171A7"/>
    <w:rsid w:val="00D654EE"/>
    <w:rsid w:val="00D67079"/>
    <w:rsid w:val="00D94CCC"/>
    <w:rsid w:val="00DB5E01"/>
    <w:rsid w:val="00DC3260"/>
    <w:rsid w:val="00E37CE5"/>
    <w:rsid w:val="00E57155"/>
    <w:rsid w:val="00E6441D"/>
    <w:rsid w:val="00E65EF7"/>
    <w:rsid w:val="00EB4446"/>
    <w:rsid w:val="00EE310A"/>
    <w:rsid w:val="00EE6D92"/>
    <w:rsid w:val="00F036C1"/>
    <w:rsid w:val="00F16DD5"/>
    <w:rsid w:val="00F23BA3"/>
    <w:rsid w:val="00F7339B"/>
    <w:rsid w:val="00FD3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70A6E4"/>
  <w15:chartTrackingRefBased/>
  <w15:docId w15:val="{3B8E529C-4332-4A60-B356-CB0E4673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93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591E"/>
    <w:pPr>
      <w:ind w:left="720"/>
      <w:contextualSpacing/>
    </w:pPr>
  </w:style>
  <w:style w:type="character" w:styleId="Marquedecommentaire">
    <w:name w:val="annotation reference"/>
    <w:basedOn w:val="Policepardfaut"/>
    <w:uiPriority w:val="99"/>
    <w:semiHidden/>
    <w:unhideWhenUsed/>
    <w:rsid w:val="004A4D15"/>
    <w:rPr>
      <w:sz w:val="16"/>
      <w:szCs w:val="16"/>
    </w:rPr>
  </w:style>
  <w:style w:type="paragraph" w:styleId="Commentaire">
    <w:name w:val="annotation text"/>
    <w:basedOn w:val="Normal"/>
    <w:link w:val="CommentaireCar"/>
    <w:uiPriority w:val="99"/>
    <w:semiHidden/>
    <w:unhideWhenUsed/>
    <w:rsid w:val="004A4D15"/>
    <w:pPr>
      <w:spacing w:line="240" w:lineRule="auto"/>
    </w:pPr>
    <w:rPr>
      <w:sz w:val="20"/>
      <w:szCs w:val="20"/>
    </w:rPr>
  </w:style>
  <w:style w:type="character" w:customStyle="1" w:styleId="CommentaireCar">
    <w:name w:val="Commentaire Car"/>
    <w:basedOn w:val="Policepardfaut"/>
    <w:link w:val="Commentaire"/>
    <w:uiPriority w:val="99"/>
    <w:semiHidden/>
    <w:rsid w:val="004A4D15"/>
    <w:rPr>
      <w:sz w:val="20"/>
      <w:szCs w:val="20"/>
    </w:rPr>
  </w:style>
  <w:style w:type="paragraph" w:styleId="Objetducommentaire">
    <w:name w:val="annotation subject"/>
    <w:basedOn w:val="Commentaire"/>
    <w:next w:val="Commentaire"/>
    <w:link w:val="ObjetducommentaireCar"/>
    <w:uiPriority w:val="99"/>
    <w:semiHidden/>
    <w:unhideWhenUsed/>
    <w:rsid w:val="004A4D15"/>
    <w:rPr>
      <w:b/>
      <w:bCs/>
    </w:rPr>
  </w:style>
  <w:style w:type="character" w:customStyle="1" w:styleId="ObjetducommentaireCar">
    <w:name w:val="Objet du commentaire Car"/>
    <w:basedOn w:val="CommentaireCar"/>
    <w:link w:val="Objetducommentaire"/>
    <w:uiPriority w:val="99"/>
    <w:semiHidden/>
    <w:rsid w:val="004A4D15"/>
    <w:rPr>
      <w:b/>
      <w:bCs/>
      <w:sz w:val="20"/>
      <w:szCs w:val="20"/>
    </w:rPr>
  </w:style>
  <w:style w:type="paragraph" w:styleId="Textedebulles">
    <w:name w:val="Balloon Text"/>
    <w:basedOn w:val="Normal"/>
    <w:link w:val="TextedebullesCar"/>
    <w:uiPriority w:val="99"/>
    <w:semiHidden/>
    <w:unhideWhenUsed/>
    <w:rsid w:val="004A4D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4D15"/>
    <w:rPr>
      <w:rFonts w:ascii="Segoe UI" w:hAnsi="Segoe UI" w:cs="Segoe UI"/>
      <w:sz w:val="18"/>
      <w:szCs w:val="18"/>
    </w:rPr>
  </w:style>
  <w:style w:type="paragraph" w:styleId="Notedebasdepage">
    <w:name w:val="footnote text"/>
    <w:basedOn w:val="Normal"/>
    <w:link w:val="NotedebasdepageCar"/>
    <w:uiPriority w:val="99"/>
    <w:semiHidden/>
    <w:unhideWhenUsed/>
    <w:rsid w:val="000251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518E"/>
    <w:rPr>
      <w:sz w:val="20"/>
      <w:szCs w:val="20"/>
    </w:rPr>
  </w:style>
  <w:style w:type="character" w:styleId="Appelnotedebasdep">
    <w:name w:val="footnote reference"/>
    <w:basedOn w:val="Policepardfaut"/>
    <w:uiPriority w:val="99"/>
    <w:semiHidden/>
    <w:unhideWhenUsed/>
    <w:rsid w:val="0002518E"/>
    <w:rPr>
      <w:vertAlign w:val="superscript"/>
    </w:rPr>
  </w:style>
  <w:style w:type="table" w:styleId="Grilledutableau">
    <w:name w:val="Table Grid"/>
    <w:basedOn w:val="TableauNormal"/>
    <w:uiPriority w:val="39"/>
    <w:rsid w:val="003A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334A2"/>
    <w:pPr>
      <w:tabs>
        <w:tab w:val="center" w:pos="4536"/>
        <w:tab w:val="right" w:pos="9072"/>
      </w:tabs>
      <w:spacing w:after="0" w:line="240" w:lineRule="auto"/>
    </w:pPr>
  </w:style>
  <w:style w:type="character" w:customStyle="1" w:styleId="En-tteCar">
    <w:name w:val="En-tête Car"/>
    <w:basedOn w:val="Policepardfaut"/>
    <w:link w:val="En-tte"/>
    <w:uiPriority w:val="99"/>
    <w:rsid w:val="007334A2"/>
  </w:style>
  <w:style w:type="paragraph" w:styleId="Pieddepage">
    <w:name w:val="footer"/>
    <w:basedOn w:val="Normal"/>
    <w:link w:val="PieddepageCar"/>
    <w:uiPriority w:val="99"/>
    <w:unhideWhenUsed/>
    <w:rsid w:val="007334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34A2"/>
  </w:style>
  <w:style w:type="character" w:customStyle="1" w:styleId="Titre1Car">
    <w:name w:val="Titre 1 Car"/>
    <w:basedOn w:val="Policepardfaut"/>
    <w:link w:val="Titre1"/>
    <w:uiPriority w:val="9"/>
    <w:rsid w:val="00B9346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C11F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2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ormco.agri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6945-B7AB-466F-83A2-C64748F1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4045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LASNE</dc:creator>
  <cp:keywords/>
  <dc:description/>
  <cp:lastModifiedBy>Florence PINATEL IGOA</cp:lastModifiedBy>
  <cp:revision>2</cp:revision>
  <dcterms:created xsi:type="dcterms:W3CDTF">2022-12-07T22:49:00Z</dcterms:created>
  <dcterms:modified xsi:type="dcterms:W3CDTF">2022-12-07T22:49:00Z</dcterms:modified>
</cp:coreProperties>
</file>